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725230">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6073B2B3" wp14:editId="519B6540">
                <wp:simplePos x="0" y="0"/>
                <wp:positionH relativeFrom="margin">
                  <wp:align>left</wp:align>
                </wp:positionH>
                <wp:positionV relativeFrom="paragraph">
                  <wp:posOffset>-406</wp:posOffset>
                </wp:positionV>
                <wp:extent cx="913654" cy="980236"/>
                <wp:effectExtent l="0" t="0" r="127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18407" cy="98533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224567" w:rsidRDefault="00C02B12" w:rsidP="00725230">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9C1327">
            <w:rPr>
              <w:rFonts w:ascii="Arial" w:eastAsia="Times New Roman" w:hAnsi="Arial" w:cs="Arial"/>
              <w:b/>
              <w:sz w:val="28"/>
              <w:szCs w:val="28"/>
              <w:lang w:val="es-ES" w:eastAsia="es-ES"/>
            </w:rPr>
            <w:t>031</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5436F3" w:rsidRPr="00AA1F79" w:rsidRDefault="005436F3" w:rsidP="005436F3">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 xml:space="preserve">CONSTRUCCIÓN DE EMPEDRADO ZAMPEADO EN LA </w:t>
          </w:r>
          <w:r w:rsidRPr="008C26D7">
            <w:rPr>
              <w:rFonts w:ascii="Arial" w:hAnsi="Arial" w:cs="Arial"/>
              <w:b/>
            </w:rPr>
            <w:t xml:space="preserve">CALLE </w:t>
          </w:r>
          <w:r w:rsidR="009C1327" w:rsidRPr="008C26D7">
            <w:rPr>
              <w:rFonts w:ascii="Arial" w:hAnsi="Arial" w:cs="Arial"/>
              <w:b/>
            </w:rPr>
            <w:t>DE LA CRUZ ENTRE LAS CALLES GORDOA Y LÁZARO CÁRDENAS</w:t>
          </w:r>
          <w:r w:rsidR="009C1327" w:rsidRPr="004E37C1">
            <w:rPr>
              <w:rFonts w:ascii="Arial" w:hAnsi="Arial" w:cs="Arial"/>
            </w:rPr>
            <w:t xml:space="preserve"> </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4E37C1" w:rsidRPr="004E37C1" w:rsidRDefault="00D70EA5" w:rsidP="004E37C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9C1327">
            <w:rPr>
              <w:rFonts w:ascii="Arial" w:hAnsi="Arial" w:cs="Arial"/>
            </w:rPr>
            <w:t>031</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E37C1" w:rsidRPr="004E37C1">
            <w:rPr>
              <w:rFonts w:ascii="Arial" w:hAnsi="Arial" w:cs="Arial"/>
            </w:rPr>
            <w:t xml:space="preserve">“PRESTACIÓN DE SERVICIOS DE MANO DE OBRA COMPLEMENTARIA PARA LA OBRA DENOMINADA - CONSTRUCCIÓN DE EMPEDRADO ZAMPEADO EN LA CALLE </w:t>
          </w:r>
          <w:r w:rsidR="009C1327">
            <w:rPr>
              <w:rFonts w:ascii="Arial" w:hAnsi="Arial" w:cs="Arial"/>
            </w:rPr>
            <w:t xml:space="preserve">DE LA CRUZ </w:t>
          </w:r>
          <w:r w:rsidR="009C1327" w:rsidRPr="004E37C1">
            <w:rPr>
              <w:rFonts w:ascii="Arial" w:hAnsi="Arial" w:cs="Arial"/>
            </w:rPr>
            <w:t xml:space="preserve">ENTRE LAS CALLES </w:t>
          </w:r>
          <w:r w:rsidR="009C1327">
            <w:rPr>
              <w:rFonts w:ascii="Arial" w:hAnsi="Arial" w:cs="Arial"/>
            </w:rPr>
            <w:t>GORDOA Y LÁZARO CÁRDENAS</w:t>
          </w:r>
          <w:r w:rsidR="009C1327"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D70EA5" w:rsidRDefault="00D70EA5" w:rsidP="0031797D">
          <w:pPr>
            <w:spacing w:after="0"/>
            <w:jc w:val="both"/>
            <w:rPr>
              <w:rFonts w:ascii="Arial" w:hAnsi="Arial" w:cs="Arial"/>
            </w:rPr>
          </w:pP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Para lo</w:t>
          </w:r>
          <w:r w:rsidR="00C02B12" w:rsidRPr="007011B0">
            <w:rPr>
              <w:color w:val="auto"/>
              <w:lang w:val="pt-BR"/>
            </w:rPr>
            <w:t>s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813EDB"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21"/>
            <w:gridCol w:w="4307"/>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8C26D7" w:rsidP="00E92540">
                <w:pPr>
                  <w:jc w:val="center"/>
                  <w:rPr>
                    <w:rFonts w:ascii="Book Antiqua" w:hAnsi="Book Antiqua"/>
                    <w:b/>
                  </w:rPr>
                </w:pPr>
                <w:r>
                  <w:rPr>
                    <w:rFonts w:ascii="Book Antiqua" w:hAnsi="Book Antiqua"/>
                    <w:b/>
                  </w:rPr>
                  <w:t>Domingo 11 de abril</w:t>
                </w:r>
                <w:r w:rsidR="00D75F62"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00D75F62" w:rsidRPr="00FE6B63">
                  <w:rPr>
                    <w:rFonts w:ascii="Book Antiqua" w:hAnsi="Book Antiqua"/>
                    <w:b/>
                  </w:rPr>
                  <w:t xml:space="preserve">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Pr="00FE6B63">
                  <w:rPr>
                    <w:rFonts w:ascii="Book Antiqua" w:hAnsi="Book Antiqua"/>
                    <w:b/>
                  </w:rPr>
                  <w:t xml:space="preserve"> </w:t>
                </w:r>
                <w:r w:rsidR="00D75F62" w:rsidRPr="00FE6B63">
                  <w:rPr>
                    <w:rFonts w:ascii="Book Antiqua" w:hAnsi="Book Antiqua"/>
                    <w:b/>
                  </w:rPr>
                  <w:t>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15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20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Pr="003358F9">
                  <w:rPr>
                    <w:rFonts w:ascii="Book Antiqua" w:eastAsiaTheme="minorEastAsia" w:hAnsi="Book Antiqua" w:cs="Calibri"/>
                    <w:b/>
                    <w:color w:val="auto"/>
                    <w:sz w:val="20"/>
                    <w:szCs w:val="20"/>
                  </w:rPr>
                  <w:t xml:space="preserve"> </w:t>
                </w:r>
                <w:r w:rsidR="00D75F62" w:rsidRPr="003358F9">
                  <w:rPr>
                    <w:rFonts w:ascii="Book Antiqua" w:eastAsiaTheme="minorEastAsia" w:hAnsi="Book Antiqua" w:cs="Calibri"/>
                    <w:b/>
                    <w:color w:val="auto"/>
                    <w:sz w:val="20"/>
                    <w:szCs w:val="20"/>
                  </w:rPr>
                  <w:t>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23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E37C1" w:rsidP="00405CF1">
          <w:pPr>
            <w:autoSpaceDE w:val="0"/>
            <w:autoSpaceDN w:val="0"/>
            <w:adjustRightInd w:val="0"/>
            <w:spacing w:after="0" w:line="240" w:lineRule="auto"/>
            <w:jc w:val="both"/>
            <w:rPr>
              <w:rFonts w:cstheme="minorHAnsi"/>
              <w:sz w:val="24"/>
              <w:szCs w:val="24"/>
            </w:rPr>
          </w:pPr>
          <w:r w:rsidRPr="004E37C1">
            <w:rPr>
              <w:rFonts w:ascii="Arial" w:hAnsi="Arial" w:cs="Arial"/>
            </w:rPr>
            <w:t xml:space="preserve">“PRESTACIÓN DE SERVICIOS DE MANO DE OBRA COMPLEMENTARIA PARA LA OBRA DENOMINADA - CONSTRUCCIÓN DE EMPEDRADO ZAMPEADO EN LA CALLE </w:t>
          </w:r>
          <w:r w:rsidR="008C26D7">
            <w:rPr>
              <w:rFonts w:ascii="Arial" w:hAnsi="Arial" w:cs="Arial"/>
            </w:rPr>
            <w:t>DE LA CRUZ</w:t>
          </w:r>
          <w:r w:rsidRPr="004E37C1">
            <w:rPr>
              <w:rFonts w:ascii="Arial" w:hAnsi="Arial" w:cs="Arial"/>
            </w:rPr>
            <w:t xml:space="preserve"> ENTRE LAS CALLES </w:t>
          </w:r>
          <w:r w:rsidR="008C26D7">
            <w:rPr>
              <w:rFonts w:ascii="Arial" w:hAnsi="Arial" w:cs="Arial"/>
            </w:rPr>
            <w:t>GORDOA</w:t>
          </w:r>
          <w:r w:rsidRPr="004E37C1">
            <w:rPr>
              <w:rFonts w:ascii="Arial" w:hAnsi="Arial" w:cs="Arial"/>
            </w:rPr>
            <w:t xml:space="preserve"> Y </w:t>
          </w:r>
          <w:r w:rsidR="008C26D7">
            <w:rPr>
              <w:rFonts w:ascii="Arial" w:hAnsi="Arial" w:cs="Arial"/>
            </w:rPr>
            <w:t>LÁZARO CARDENAS</w:t>
          </w:r>
          <w:r w:rsidRPr="004E37C1">
            <w:rPr>
              <w:rFonts w:ascii="Arial" w:hAnsi="Arial" w:cs="Arial"/>
            </w:rPr>
            <w:t xml:space="preserve"> – DEL MUNICIPIO DE ZAPOTLÁN EL GRANDE, JALISCO”</w:t>
          </w:r>
          <w:r w:rsidR="0031797D">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8C26D7">
            <w:rPr>
              <w:color w:val="000000" w:themeColor="text1"/>
              <w:sz w:val="24"/>
              <w:szCs w:val="24"/>
            </w:rPr>
            <w:t xml:space="preserve">Calle </w:t>
          </w:r>
          <w:r w:rsidR="008C26D7">
            <w:rPr>
              <w:rFonts w:ascii="Arial" w:hAnsi="Arial" w:cs="Arial"/>
            </w:rPr>
            <w:t>De La Cruz</w:t>
          </w:r>
          <w:r w:rsidR="008C26D7" w:rsidRPr="004E37C1">
            <w:rPr>
              <w:rFonts w:ascii="Arial" w:hAnsi="Arial" w:cs="Arial"/>
            </w:rPr>
            <w:t xml:space="preserve"> Entre Las Calles </w:t>
          </w:r>
          <w:r w:rsidR="008C26D7">
            <w:rPr>
              <w:rFonts w:ascii="Arial" w:hAnsi="Arial" w:cs="Arial"/>
            </w:rPr>
            <w:t>Gordoa</w:t>
          </w:r>
          <w:r w:rsidR="008C26D7" w:rsidRPr="004E37C1">
            <w:rPr>
              <w:rFonts w:ascii="Arial" w:hAnsi="Arial" w:cs="Arial"/>
            </w:rPr>
            <w:t xml:space="preserve"> Y </w:t>
          </w:r>
          <w:r w:rsidR="008C26D7">
            <w:rPr>
              <w:rFonts w:ascii="Arial" w:hAnsi="Arial" w:cs="Arial"/>
            </w:rPr>
            <w:t>Lázaro Cárdenas</w:t>
          </w:r>
          <w:r w:rsidR="00066BC3">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lastRenderedPageBreak/>
            <w:t>El suministro total de la prestación de servicios de mano de obra complementaria para construc</w:t>
          </w:r>
          <w:r w:rsidR="00723CE4">
            <w:rPr>
              <w:rFonts w:cstheme="minorHAnsi"/>
              <w:sz w:val="24"/>
              <w:szCs w:val="24"/>
            </w:rPr>
            <w:t>ción de empedrado en la calle</w:t>
          </w:r>
          <w:r w:rsidRPr="00BE7110">
            <w:rPr>
              <w:rFonts w:cstheme="minorHAnsi"/>
              <w:sz w:val="24"/>
              <w:szCs w:val="24"/>
            </w:rPr>
            <w:t xml:space="preserve"> </w:t>
          </w:r>
          <w:r w:rsidR="00723CE4">
            <w:rPr>
              <w:rFonts w:ascii="Book Antiqua" w:hAnsi="Book Antiqua"/>
              <w:sz w:val="24"/>
              <w:szCs w:val="24"/>
            </w:rPr>
            <w:t>DE LA CRUZ</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9C1327">
            <w:rPr>
              <w:rFonts w:cstheme="minorHAnsi"/>
              <w:b/>
              <w:color w:val="FF0000"/>
              <w:sz w:val="24"/>
              <w:szCs w:val="24"/>
            </w:rPr>
            <w:t>31</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E37C1" w:rsidRPr="004E37C1">
            <w:rPr>
              <w:rFonts w:ascii="Arial" w:hAnsi="Arial" w:cs="Arial"/>
            </w:rPr>
            <w:t xml:space="preserve">“PRESTACIÓN DE SERVICIOS DE MANO DE OBRA COMPLEMENTARIA PARA LA OBRA DENOMINADA - CONSTRUCCIÓN DE EMPEDRADO ZAMPEADO EN LA </w:t>
          </w:r>
          <w:r w:rsidR="008C26D7">
            <w:rPr>
              <w:color w:val="000000" w:themeColor="text1"/>
              <w:sz w:val="24"/>
              <w:szCs w:val="24"/>
            </w:rPr>
            <w:t xml:space="preserve">Calle </w:t>
          </w:r>
          <w:r w:rsidR="008C26D7">
            <w:rPr>
              <w:rFonts w:ascii="Arial" w:hAnsi="Arial" w:cs="Arial"/>
            </w:rPr>
            <w:t>DE LA CRUZ</w:t>
          </w:r>
          <w:r w:rsidR="008C26D7" w:rsidRPr="004E37C1">
            <w:rPr>
              <w:rFonts w:ascii="Arial" w:hAnsi="Arial" w:cs="Arial"/>
            </w:rPr>
            <w:t xml:space="preserve"> ENTRE LAS CALLES </w:t>
          </w:r>
          <w:r w:rsidR="008C26D7">
            <w:rPr>
              <w:rFonts w:ascii="Arial" w:hAnsi="Arial" w:cs="Arial"/>
            </w:rPr>
            <w:t>GORDOA</w:t>
          </w:r>
          <w:r w:rsidR="008C26D7" w:rsidRPr="004E37C1">
            <w:rPr>
              <w:rFonts w:ascii="Arial" w:hAnsi="Arial" w:cs="Arial"/>
            </w:rPr>
            <w:t xml:space="preserve"> Y </w:t>
          </w:r>
          <w:r w:rsidR="008C26D7">
            <w:rPr>
              <w:rFonts w:ascii="Arial" w:hAnsi="Arial" w:cs="Arial"/>
            </w:rPr>
            <w:t>LÁZARO CÁRDENAS</w:t>
          </w:r>
          <w:r w:rsidR="008C26D7"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w:t>
          </w:r>
          <w:r w:rsidR="009044A0">
            <w:rPr>
              <w:rFonts w:cstheme="minorHAnsi"/>
              <w:sz w:val="24"/>
              <w:szCs w:val="24"/>
            </w:rPr>
            <w:lastRenderedPageBreak/>
            <w:t xml:space="preserve">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4E37C1" w:rsidP="008B6D9E">
                <w:pPr>
                  <w:autoSpaceDE w:val="0"/>
                  <w:autoSpaceDN w:val="0"/>
                  <w:adjustRightInd w:val="0"/>
                  <w:jc w:val="center"/>
                  <w:rPr>
                    <w:rFonts w:ascii="Book Antiqua" w:hAnsi="Book Antiqua"/>
                    <w:b/>
                  </w:rPr>
                </w:pPr>
                <w:r w:rsidRPr="009B7FBC">
                  <w:rPr>
                    <w:rFonts w:ascii="Book Antiqua" w:hAnsi="Book Antiqua"/>
                    <w:b/>
                  </w:rPr>
                  <w:t>1</w:t>
                </w:r>
                <w:r w:rsidR="00B674BD">
                  <w:rPr>
                    <w:rFonts w:ascii="Book Antiqua" w:hAnsi="Book Antiqua"/>
                    <w:b/>
                  </w:rPr>
                  <w:t>,</w:t>
                </w:r>
                <w:r w:rsidR="00E05788">
                  <w:rPr>
                    <w:rFonts w:ascii="Book Antiqua" w:hAnsi="Book Antiqua"/>
                    <w:b/>
                  </w:rPr>
                  <w:t>661</w:t>
                </w:r>
                <w:r w:rsidR="00B674BD">
                  <w:rPr>
                    <w:rFonts w:ascii="Book Antiqua" w:hAnsi="Book Antiqua"/>
                    <w:b/>
                  </w:rPr>
                  <w:t>.45</w:t>
                </w:r>
                <w:bookmarkStart w:id="0" w:name="_GoBack"/>
                <w:bookmarkEnd w:id="0"/>
                <w:r w:rsidRPr="009B7FBC">
                  <w:rPr>
                    <w:rFonts w:ascii="Book Antiqua" w:hAnsi="Book Antiqua"/>
                    <w:b/>
                  </w:rPr>
                  <w:t xml:space="preserve"> </w:t>
                </w:r>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E05788">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w:t>
                </w:r>
                <w:r w:rsidR="00E05788">
                  <w:rPr>
                    <w:rFonts w:ascii="Book Antiqua" w:hAnsi="Book Antiqua"/>
                    <w:b/>
                  </w:rPr>
                  <w:t>B212</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w:t>
                </w:r>
                <w:r w:rsidR="008C26D7" w:rsidRPr="008C26D7">
                  <w:rPr>
                    <w:b/>
                    <w:sz w:val="24"/>
                    <w:szCs w:val="24"/>
                  </w:rPr>
                  <w:t xml:space="preserve">Calle </w:t>
                </w:r>
                <w:r w:rsidR="008C26D7" w:rsidRPr="008C26D7">
                  <w:rPr>
                    <w:rFonts w:ascii="Arial" w:hAnsi="Arial" w:cs="Arial"/>
                    <w:b/>
                  </w:rPr>
                  <w:t>De La Cruz Entre Las Calles Gordoa Y Lázaro Cárdenas</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8C26D7">
            <w:rPr>
              <w:rFonts w:cstheme="minorHAnsi"/>
              <w:sz w:val="24"/>
              <w:szCs w:val="24"/>
            </w:rPr>
            <w:t xml:space="preserve">martes 13 de abril </w:t>
          </w:r>
          <w:r w:rsidR="001E35BF">
            <w:rPr>
              <w:rFonts w:cstheme="minorHAnsi"/>
              <w:sz w:val="24"/>
              <w:szCs w:val="24"/>
            </w:rPr>
            <w:t>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 xml:space="preserve">CONVOCANTE </w:t>
          </w:r>
          <w:r w:rsidR="00CE66DE" w:rsidRPr="00CE66DE">
            <w:rPr>
              <w:rFonts w:cstheme="minorHAnsi"/>
              <w:b/>
              <w:sz w:val="24"/>
              <w:szCs w:val="24"/>
            </w:rPr>
            <w:lastRenderedPageBreak/>
            <w:t>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r w:rsidR="008C26D7" w:rsidRPr="00884889">
            <w:rPr>
              <w:rFonts w:cstheme="minorHAnsi"/>
              <w:sz w:val="24"/>
              <w:szCs w:val="24"/>
            </w:rPr>
            <w:t>o</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8C26D7">
            <w:rPr>
              <w:rFonts w:cstheme="minorHAnsi"/>
              <w:sz w:val="24"/>
              <w:szCs w:val="24"/>
            </w:rPr>
            <w:t>martes 15 de abril</w:t>
          </w:r>
          <w:r w:rsidR="001E35BF" w:rsidRPr="001E35BF">
            <w:rPr>
              <w:rFonts w:cstheme="minorHAnsi"/>
              <w:sz w:val="24"/>
              <w:szCs w:val="24"/>
            </w:rPr>
            <w:t xml:space="preserve"> de</w:t>
          </w:r>
          <w:r w:rsidR="00D51957">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C54F86">
            <w:rPr>
              <w:rFonts w:cstheme="minorHAnsi"/>
              <w:sz w:val="24"/>
              <w:szCs w:val="24"/>
            </w:rPr>
            <w:t>martes 20 de abril</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w:t>
          </w:r>
          <w:r>
            <w:rPr>
              <w:rFonts w:cstheme="minorHAnsi"/>
              <w:sz w:val="24"/>
              <w:szCs w:val="24"/>
            </w:rPr>
            <w:lastRenderedPageBreak/>
            <w:t xml:space="preserve">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deberá proponer un calendario de entrega </w:t>
          </w:r>
          <w:r w:rsidRPr="00884889">
            <w:rPr>
              <w:rFonts w:asciiTheme="minorHAnsi" w:hAnsiTheme="minorHAnsi" w:cstheme="minorHAnsi"/>
              <w:sz w:val="24"/>
              <w:szCs w:val="24"/>
            </w:rPr>
            <w:lastRenderedPageBreak/>
            <w:t>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w:t>
          </w:r>
          <w:r w:rsidR="00F77EE0" w:rsidRPr="00F77EE0">
            <w:rPr>
              <w:rFonts w:cstheme="minorHAnsi"/>
              <w:sz w:val="24"/>
              <w:szCs w:val="24"/>
            </w:rPr>
            <w:lastRenderedPageBreak/>
            <w:t xml:space="preserve">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w:t>
          </w:r>
          <w:r w:rsidR="0081745C" w:rsidRPr="00884889">
            <w:rPr>
              <w:rFonts w:cstheme="minorHAnsi"/>
              <w:sz w:val="24"/>
              <w:szCs w:val="24"/>
            </w:rPr>
            <w:lastRenderedPageBreak/>
            <w:t>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9C1327">
            <w:rPr>
              <w:rFonts w:cstheme="minorHAnsi"/>
              <w:sz w:val="24"/>
              <w:szCs w:val="24"/>
            </w:rPr>
            <w:t>MUNICIPAL 031/</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E37C1" w:rsidRPr="004E37C1">
            <w:rPr>
              <w:rFonts w:ascii="Arial" w:hAnsi="Arial" w:cs="Arial"/>
            </w:rPr>
            <w:t xml:space="preserve">“PRESTACIÓN DE SERVICIOS DE MANO DE OBRA COMPLEMENTARIA PARA LA OBRA DENOMINADA - CONSTRUCCIÓN DE EMPEDRADO ZAMPEADO EN LA CALLE </w:t>
          </w:r>
          <w:r w:rsidR="009C1327">
            <w:rPr>
              <w:rFonts w:ascii="Arial" w:hAnsi="Arial" w:cs="Arial"/>
            </w:rPr>
            <w:t xml:space="preserve">DE LA CRUZ </w:t>
          </w:r>
          <w:r w:rsidR="004E37C1" w:rsidRPr="004E37C1">
            <w:rPr>
              <w:rFonts w:ascii="Arial" w:hAnsi="Arial" w:cs="Arial"/>
            </w:rPr>
            <w:t xml:space="preserve">ENTRE LAS CALLES </w:t>
          </w:r>
          <w:r w:rsidR="009C1327">
            <w:rPr>
              <w:rFonts w:ascii="Arial" w:hAnsi="Arial" w:cs="Arial"/>
            </w:rPr>
            <w:t>GORDOA Y LÁZARO CÁRDENAS</w:t>
          </w:r>
          <w:r w:rsidR="004E37C1" w:rsidRPr="004E37C1">
            <w:rPr>
              <w:rFonts w:ascii="Arial" w:hAnsi="Arial" w:cs="Arial"/>
            </w:rPr>
            <w:t xml:space="preserve"> – DEL MUNICIPIO DE ZAPOTLÁN EL GRANDE, JALISCO”</w:t>
          </w:r>
          <w:r w:rsidR="004E37C1">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lastRenderedPageBreak/>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 xml:space="preserve">lunes </w:t>
          </w:r>
          <w:r w:rsidR="00C54F86">
            <w:rPr>
              <w:rFonts w:asciiTheme="minorHAnsi" w:hAnsiTheme="minorHAnsi" w:cstheme="minorHAnsi"/>
              <w:sz w:val="24"/>
              <w:szCs w:val="24"/>
            </w:rPr>
            <w:t>jueves 22 de abril</w:t>
          </w:r>
          <w:r w:rsidR="001E35BF" w:rsidRPr="001E35BF">
            <w:rPr>
              <w:rFonts w:asciiTheme="minorHAnsi" w:hAnsiTheme="minorHAnsi" w:cstheme="minorHAnsi"/>
              <w:sz w:val="24"/>
              <w:szCs w:val="24"/>
            </w:rPr>
            <w:t xml:space="preserve">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lastRenderedPageBreak/>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C54F86">
            <w:rPr>
              <w:rFonts w:cstheme="minorHAnsi"/>
              <w:sz w:val="24"/>
              <w:szCs w:val="24"/>
            </w:rPr>
            <w:t>jueves 22 de abril</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C54F86">
            <w:rPr>
              <w:rFonts w:cstheme="minorHAnsi"/>
              <w:sz w:val="24"/>
              <w:szCs w:val="24"/>
            </w:rPr>
            <w:t>jueves 22 de abril</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C54F86">
            <w:rPr>
              <w:rFonts w:cstheme="minorHAnsi"/>
              <w:sz w:val="24"/>
              <w:szCs w:val="24"/>
            </w:rPr>
            <w:t>jueves 22 de abril</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 xml:space="preserve">a “María Elena </w:t>
          </w:r>
          <w:r>
            <w:rPr>
              <w:rFonts w:cstheme="minorHAnsi"/>
              <w:sz w:val="24"/>
              <w:szCs w:val="24"/>
            </w:rPr>
            <w:lastRenderedPageBreak/>
            <w:t>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C54F86">
            <w:rPr>
              <w:rFonts w:cstheme="minorHAnsi"/>
              <w:b/>
              <w:sz w:val="24"/>
              <w:szCs w:val="24"/>
            </w:rPr>
            <w:t>viernes 23 de abril</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w:t>
          </w:r>
          <w:r w:rsidRPr="00D30139">
            <w:rPr>
              <w:rFonts w:cstheme="minorHAnsi"/>
              <w:sz w:val="24"/>
              <w:szCs w:val="24"/>
            </w:rPr>
            <w:lastRenderedPageBreak/>
            <w:t xml:space="preserve">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r w:rsidR="00C54F86" w:rsidRPr="00884889">
            <w:rPr>
              <w:rFonts w:cstheme="minorHAnsi"/>
              <w:sz w:val="24"/>
              <w:szCs w:val="24"/>
            </w:rPr>
            <w:t>será</w:t>
          </w:r>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 xml:space="preserve">e la ley de </w:t>
          </w:r>
          <w:r w:rsidR="00D90BEF" w:rsidRPr="00C5084C">
            <w:rPr>
              <w:rFonts w:cstheme="minorHAnsi"/>
              <w:sz w:val="24"/>
              <w:szCs w:val="24"/>
            </w:rPr>
            <w:lastRenderedPageBreak/>
            <w:t>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xml:space="preserve">) días naturales posteriores a la notificación del fallo en </w:t>
          </w:r>
          <w:r w:rsidR="00F70942" w:rsidRPr="00884889">
            <w:rPr>
              <w:rFonts w:cstheme="minorHAnsi"/>
              <w:sz w:val="24"/>
              <w:szCs w:val="24"/>
            </w:rPr>
            <w:lastRenderedPageBreak/>
            <w:t>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 xml:space="preserve">n penas convencionales para en caso de incumplimiento al presente contrato, por lo que en caso de que el proveedor incumpla con </w:t>
          </w:r>
          <w:r w:rsidR="00F70942" w:rsidRPr="00884889">
            <w:rPr>
              <w:rFonts w:cstheme="minorHAnsi"/>
              <w:sz w:val="24"/>
              <w:szCs w:val="24"/>
            </w:rPr>
            <w:lastRenderedPageBreak/>
            <w:t>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813EDB"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DB" w:rsidRDefault="00813EDB" w:rsidP="0098531E">
      <w:pPr>
        <w:spacing w:after="0" w:line="240" w:lineRule="auto"/>
      </w:pPr>
      <w:r>
        <w:separator/>
      </w:r>
    </w:p>
  </w:endnote>
  <w:endnote w:type="continuationSeparator" w:id="0">
    <w:p w:rsidR="00813EDB" w:rsidRDefault="00813EDB"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00000001"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B674BD" w:rsidRPr="00B674BD">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9C1327">
            <w:rPr>
              <w:rFonts w:cstheme="minorHAnsi"/>
            </w:rPr>
            <w:t>031</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DB" w:rsidRDefault="00813EDB" w:rsidP="0098531E">
      <w:pPr>
        <w:spacing w:after="0" w:line="240" w:lineRule="auto"/>
      </w:pPr>
      <w:r>
        <w:separator/>
      </w:r>
    </w:p>
  </w:footnote>
  <w:footnote w:type="continuationSeparator" w:id="0">
    <w:p w:rsidR="00813EDB" w:rsidRDefault="00813EDB"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073B2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07CCC"/>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20E"/>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3CE4"/>
    <w:rsid w:val="00725230"/>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4F"/>
    <w:rsid w:val="0081252D"/>
    <w:rsid w:val="00813EDB"/>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6D7"/>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97792"/>
    <w:rsid w:val="009A06BB"/>
    <w:rsid w:val="009A1CD9"/>
    <w:rsid w:val="009A250F"/>
    <w:rsid w:val="009A3344"/>
    <w:rsid w:val="009B20B5"/>
    <w:rsid w:val="009B2E9C"/>
    <w:rsid w:val="009B593F"/>
    <w:rsid w:val="009B674F"/>
    <w:rsid w:val="009B7D8A"/>
    <w:rsid w:val="009C1327"/>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674BD"/>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44C38"/>
    <w:rsid w:val="00C5084C"/>
    <w:rsid w:val="00C51560"/>
    <w:rsid w:val="00C51F1E"/>
    <w:rsid w:val="00C52EF1"/>
    <w:rsid w:val="00C54E3B"/>
    <w:rsid w:val="00C54F86"/>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1957"/>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5788"/>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3144"/>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88E0D-A246-4621-8540-C7341F22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7955</Words>
  <Characters>43757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cp:revision>
  <cp:lastPrinted>2017-09-06T13:55:00Z</cp:lastPrinted>
  <dcterms:created xsi:type="dcterms:W3CDTF">2021-04-08T20:00:00Z</dcterms:created>
  <dcterms:modified xsi:type="dcterms:W3CDTF">2021-04-13T14:40:00Z</dcterms:modified>
</cp:coreProperties>
</file>