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7" w:rsidRDefault="00B8412F" w:rsidP="00A5750D">
      <w:pPr>
        <w:tabs>
          <w:tab w:val="left" w:pos="3570"/>
        </w:tabs>
        <w:rPr>
          <w:b/>
        </w:rPr>
      </w:pPr>
      <w:bookmarkStart w:id="0" w:name="_GoBack"/>
      <w:bookmarkEnd w:id="0"/>
      <w:r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8890</wp:posOffset>
            </wp:positionH>
            <wp:positionV relativeFrom="page">
              <wp:posOffset>28575</wp:posOffset>
            </wp:positionV>
            <wp:extent cx="7773035" cy="10059035"/>
            <wp:effectExtent l="0" t="0" r="0" b="0"/>
            <wp:wrapNone/>
            <wp:docPr id="2" name="Imagen 2" descr="Hoja isabe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Hoja isabel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0D">
        <w:rPr>
          <w:b/>
        </w:rPr>
        <w:tab/>
      </w:r>
    </w:p>
    <w:p w:rsidR="00F64ED8" w:rsidRDefault="00056291" w:rsidP="00056291">
      <w:pPr>
        <w:tabs>
          <w:tab w:val="left" w:pos="1980"/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57D3" w:rsidRDefault="007157D3" w:rsidP="003F72B2">
      <w:pPr>
        <w:spacing w:after="0"/>
        <w:jc w:val="center"/>
        <w:rPr>
          <w:b/>
          <w:sz w:val="28"/>
          <w:szCs w:val="28"/>
        </w:rPr>
      </w:pPr>
    </w:p>
    <w:p w:rsidR="007157D3" w:rsidRDefault="007157D3" w:rsidP="003F72B2">
      <w:pPr>
        <w:spacing w:after="0"/>
        <w:jc w:val="center"/>
        <w:rPr>
          <w:b/>
          <w:sz w:val="28"/>
          <w:szCs w:val="28"/>
        </w:rPr>
      </w:pPr>
    </w:p>
    <w:p w:rsidR="00CE5F9B" w:rsidRPr="003F418C" w:rsidRDefault="00EE4294" w:rsidP="003F72B2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ACTA DE LA</w:t>
      </w:r>
      <w:r w:rsidR="00143703">
        <w:rPr>
          <w:b/>
          <w:sz w:val="28"/>
          <w:szCs w:val="28"/>
        </w:rPr>
        <w:t xml:space="preserve"> </w:t>
      </w:r>
      <w:r w:rsidR="008379CF">
        <w:rPr>
          <w:b/>
          <w:sz w:val="28"/>
          <w:szCs w:val="28"/>
        </w:rPr>
        <w:t>SÉ</w:t>
      </w:r>
      <w:r w:rsidR="00FC1C00">
        <w:rPr>
          <w:b/>
          <w:sz w:val="28"/>
          <w:szCs w:val="28"/>
        </w:rPr>
        <w:t>PTIMA</w:t>
      </w:r>
      <w:r w:rsidR="004C0852">
        <w:rPr>
          <w:b/>
          <w:sz w:val="28"/>
          <w:szCs w:val="28"/>
        </w:rPr>
        <w:t xml:space="preserve">  SESIÓ</w:t>
      </w:r>
      <w:r w:rsidR="00143703">
        <w:rPr>
          <w:b/>
          <w:sz w:val="28"/>
          <w:szCs w:val="28"/>
        </w:rPr>
        <w:t>N ORDINARIA</w:t>
      </w:r>
    </w:p>
    <w:p w:rsidR="00CE5F9B" w:rsidRDefault="00EE4294" w:rsidP="00D64207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DEL COM</w:t>
      </w:r>
      <w:r w:rsidR="00A31952">
        <w:rPr>
          <w:b/>
          <w:sz w:val="28"/>
          <w:szCs w:val="28"/>
        </w:rPr>
        <w:t>I</w:t>
      </w:r>
      <w:r w:rsidR="004C0852">
        <w:rPr>
          <w:b/>
          <w:sz w:val="28"/>
          <w:szCs w:val="28"/>
        </w:rPr>
        <w:t>TÉ</w:t>
      </w:r>
      <w:r w:rsidRPr="003F418C">
        <w:rPr>
          <w:b/>
          <w:sz w:val="28"/>
          <w:szCs w:val="28"/>
        </w:rPr>
        <w:t xml:space="preserve"> DE COMP</w:t>
      </w:r>
      <w:r w:rsidR="004C0852">
        <w:rPr>
          <w:b/>
          <w:sz w:val="28"/>
          <w:szCs w:val="28"/>
        </w:rPr>
        <w:t>RAS GUBERNAMENTALES, CONTRATACIÓ</w:t>
      </w:r>
      <w:r w:rsidRPr="003F418C">
        <w:rPr>
          <w:b/>
          <w:sz w:val="28"/>
          <w:szCs w:val="28"/>
        </w:rPr>
        <w:t>N DE SERVCIOS, ARRENDAMIENTOS Y ENAJENACION</w:t>
      </w:r>
      <w:r w:rsidR="008379CF">
        <w:rPr>
          <w:b/>
          <w:sz w:val="28"/>
          <w:szCs w:val="28"/>
        </w:rPr>
        <w:t>ES, PARA EL MUNICIPIO DE ZAPOTLÁ</w:t>
      </w:r>
      <w:r w:rsidRPr="003F418C">
        <w:rPr>
          <w:b/>
          <w:sz w:val="28"/>
          <w:szCs w:val="28"/>
        </w:rPr>
        <w:t>N EL GRANDE,</w:t>
      </w:r>
      <w:r w:rsidR="003F418C" w:rsidRPr="003F418C">
        <w:rPr>
          <w:b/>
          <w:sz w:val="28"/>
          <w:szCs w:val="28"/>
        </w:rPr>
        <w:t xml:space="preserve"> </w:t>
      </w:r>
      <w:r w:rsidRPr="003F418C">
        <w:rPr>
          <w:b/>
          <w:sz w:val="28"/>
          <w:szCs w:val="28"/>
        </w:rPr>
        <w:t>JALISCO.</w:t>
      </w:r>
    </w:p>
    <w:p w:rsidR="007157D3" w:rsidRPr="003F418C" w:rsidRDefault="007157D3" w:rsidP="00D64207">
      <w:pPr>
        <w:spacing w:after="0"/>
        <w:jc w:val="center"/>
        <w:rPr>
          <w:b/>
          <w:sz w:val="28"/>
          <w:szCs w:val="28"/>
        </w:rPr>
      </w:pPr>
    </w:p>
    <w:p w:rsidR="00CE5F9B" w:rsidRPr="00FC1C00" w:rsidRDefault="00EE4294" w:rsidP="005175C0">
      <w:pPr>
        <w:jc w:val="both"/>
        <w:rPr>
          <w:rFonts w:cstheme="minorHAnsi"/>
          <w:sz w:val="24"/>
          <w:szCs w:val="24"/>
        </w:rPr>
      </w:pPr>
      <w:r w:rsidRPr="004D7274">
        <w:rPr>
          <w:sz w:val="24"/>
          <w:szCs w:val="24"/>
        </w:rPr>
        <w:t xml:space="preserve">En Ciudad Guzmán, Municipio de Zapotlán el Grande, Jalisco siendo las </w:t>
      </w:r>
      <w:r w:rsidR="00393495">
        <w:rPr>
          <w:sz w:val="24"/>
          <w:szCs w:val="24"/>
        </w:rPr>
        <w:t>1</w:t>
      </w:r>
      <w:r w:rsidR="00FC1C00">
        <w:rPr>
          <w:sz w:val="24"/>
          <w:szCs w:val="24"/>
        </w:rPr>
        <w:t>1:3</w:t>
      </w:r>
      <w:r w:rsidRPr="004D7274">
        <w:rPr>
          <w:sz w:val="24"/>
          <w:szCs w:val="24"/>
        </w:rPr>
        <w:t xml:space="preserve">0 </w:t>
      </w:r>
      <w:r w:rsidR="008379CF">
        <w:rPr>
          <w:sz w:val="24"/>
          <w:szCs w:val="24"/>
        </w:rPr>
        <w:t>(once horas con treinta minutos</w:t>
      </w:r>
      <w:r w:rsidR="009B54F2">
        <w:rPr>
          <w:sz w:val="24"/>
          <w:szCs w:val="24"/>
        </w:rPr>
        <w:t>)</w:t>
      </w:r>
      <w:r w:rsidRPr="004D7274">
        <w:rPr>
          <w:sz w:val="24"/>
          <w:szCs w:val="24"/>
        </w:rPr>
        <w:t xml:space="preserve"> del día </w:t>
      </w:r>
      <w:r w:rsidR="00FC1C00">
        <w:rPr>
          <w:sz w:val="24"/>
          <w:szCs w:val="24"/>
        </w:rPr>
        <w:t>20</w:t>
      </w:r>
      <w:r w:rsidR="00A9079B">
        <w:rPr>
          <w:sz w:val="24"/>
          <w:szCs w:val="24"/>
        </w:rPr>
        <w:t xml:space="preserve"> (</w:t>
      </w:r>
      <w:r w:rsidR="00FC1C00">
        <w:rPr>
          <w:sz w:val="24"/>
          <w:szCs w:val="24"/>
        </w:rPr>
        <w:t>veinte</w:t>
      </w:r>
      <w:r w:rsidR="00A9079B">
        <w:rPr>
          <w:sz w:val="24"/>
          <w:szCs w:val="24"/>
        </w:rPr>
        <w:t>)</w:t>
      </w:r>
      <w:r w:rsidR="003B1AEB">
        <w:rPr>
          <w:sz w:val="24"/>
          <w:szCs w:val="24"/>
        </w:rPr>
        <w:t xml:space="preserve"> de </w:t>
      </w:r>
      <w:r w:rsidR="00FC1C00">
        <w:rPr>
          <w:sz w:val="24"/>
          <w:szCs w:val="24"/>
        </w:rPr>
        <w:t>marzo</w:t>
      </w:r>
      <w:r w:rsidRPr="004D7274">
        <w:rPr>
          <w:sz w:val="24"/>
          <w:szCs w:val="24"/>
        </w:rPr>
        <w:t xml:space="preserve"> del año 201</w:t>
      </w:r>
      <w:r w:rsidR="009B54F2">
        <w:rPr>
          <w:sz w:val="24"/>
          <w:szCs w:val="24"/>
        </w:rPr>
        <w:t>9 (dos mil diecinueve)</w:t>
      </w:r>
      <w:r w:rsidRPr="004D7274">
        <w:rPr>
          <w:sz w:val="24"/>
          <w:szCs w:val="24"/>
        </w:rPr>
        <w:t xml:space="preserve">, con fundamento en lo dispuesto en </w:t>
      </w:r>
      <w:r w:rsidR="008379CF">
        <w:rPr>
          <w:sz w:val="24"/>
          <w:szCs w:val="24"/>
        </w:rPr>
        <w:t xml:space="preserve">el </w:t>
      </w:r>
      <w:r w:rsidR="003F418C" w:rsidRPr="004D7274">
        <w:rPr>
          <w:sz w:val="24"/>
          <w:szCs w:val="24"/>
        </w:rPr>
        <w:t>Capítulo</w:t>
      </w:r>
      <w:r w:rsidRPr="004D7274">
        <w:rPr>
          <w:sz w:val="24"/>
          <w:szCs w:val="24"/>
        </w:rPr>
        <w:t xml:space="preserve"> </w:t>
      </w:r>
      <w:r w:rsidR="001F0989">
        <w:rPr>
          <w:sz w:val="24"/>
          <w:szCs w:val="24"/>
        </w:rPr>
        <w:t>II artículo 23</w:t>
      </w:r>
      <w:r w:rsidR="003B1AEB">
        <w:rPr>
          <w:sz w:val="24"/>
          <w:szCs w:val="24"/>
        </w:rPr>
        <w:t>,</w:t>
      </w:r>
      <w:r w:rsidR="001F0989">
        <w:rPr>
          <w:sz w:val="24"/>
          <w:szCs w:val="24"/>
        </w:rPr>
        <w:t xml:space="preserve"> 24,</w:t>
      </w:r>
      <w:r w:rsidR="003F418C" w:rsidRPr="004D7274">
        <w:rPr>
          <w:sz w:val="24"/>
          <w:szCs w:val="24"/>
        </w:rPr>
        <w:t xml:space="preserve"> 25 </w:t>
      </w:r>
      <w:r w:rsidR="001F0989">
        <w:rPr>
          <w:sz w:val="24"/>
          <w:szCs w:val="24"/>
        </w:rPr>
        <w:t>y 26</w:t>
      </w:r>
      <w:r w:rsidR="003F418C" w:rsidRPr="004D7274">
        <w:rPr>
          <w:sz w:val="24"/>
          <w:szCs w:val="24"/>
        </w:rPr>
        <w:t xml:space="preserve"> </w:t>
      </w:r>
      <w:r w:rsidR="00E3218C" w:rsidRPr="004D7274">
        <w:rPr>
          <w:sz w:val="24"/>
          <w:szCs w:val="24"/>
        </w:rPr>
        <w:t>del Reglamento de Compras Gubernamentales, Contratación de A</w:t>
      </w:r>
      <w:r w:rsidR="003B1AEB">
        <w:rPr>
          <w:sz w:val="24"/>
          <w:szCs w:val="24"/>
        </w:rPr>
        <w:t>rrendamientos y Enajenaciones, p</w:t>
      </w:r>
      <w:r w:rsidR="00E3218C" w:rsidRPr="004D7274">
        <w:rPr>
          <w:sz w:val="24"/>
          <w:szCs w:val="24"/>
        </w:rPr>
        <w:t>ara el Municipio de Zapotlán el Grande</w:t>
      </w:r>
      <w:r w:rsidR="003B1AEB">
        <w:rPr>
          <w:sz w:val="24"/>
          <w:szCs w:val="24"/>
        </w:rPr>
        <w:t xml:space="preserve"> Jalisco, p</w:t>
      </w:r>
      <w:r w:rsidR="005175C0" w:rsidRPr="004D7274">
        <w:rPr>
          <w:sz w:val="24"/>
          <w:szCs w:val="24"/>
        </w:rPr>
        <w:t xml:space="preserve">revia Convocatoria a través de los </w:t>
      </w:r>
      <w:r w:rsidR="00CC23D4" w:rsidRPr="004D7274">
        <w:rPr>
          <w:sz w:val="24"/>
          <w:szCs w:val="24"/>
        </w:rPr>
        <w:t>o</w:t>
      </w:r>
      <w:r w:rsidR="005175C0" w:rsidRPr="004D7274">
        <w:rPr>
          <w:sz w:val="24"/>
          <w:szCs w:val="24"/>
        </w:rPr>
        <w:t xml:space="preserve">ficios números </w:t>
      </w:r>
      <w:r w:rsidR="00E17EFF" w:rsidRPr="004D7274">
        <w:rPr>
          <w:sz w:val="24"/>
          <w:szCs w:val="24"/>
        </w:rPr>
        <w:t>HM-JP-</w:t>
      </w:r>
      <w:r w:rsidR="00FC1C00">
        <w:rPr>
          <w:sz w:val="24"/>
          <w:szCs w:val="24"/>
        </w:rPr>
        <w:t>255,256,257,258,259,260 y 261</w:t>
      </w:r>
      <w:r w:rsidR="00E17EFF" w:rsidRPr="00544911">
        <w:rPr>
          <w:sz w:val="24"/>
          <w:szCs w:val="24"/>
        </w:rPr>
        <w:t xml:space="preserve"> </w:t>
      </w:r>
      <w:r w:rsidR="005175C0" w:rsidRPr="00544911">
        <w:rPr>
          <w:sz w:val="24"/>
          <w:szCs w:val="24"/>
        </w:rPr>
        <w:t xml:space="preserve">de fecha </w:t>
      </w:r>
      <w:r w:rsidR="00FC1C00">
        <w:rPr>
          <w:sz w:val="24"/>
          <w:szCs w:val="24"/>
        </w:rPr>
        <w:t>15 (quince</w:t>
      </w:r>
      <w:r w:rsidR="009B54F2">
        <w:rPr>
          <w:sz w:val="24"/>
          <w:szCs w:val="24"/>
        </w:rPr>
        <w:t>)</w:t>
      </w:r>
      <w:r w:rsidR="00393495">
        <w:rPr>
          <w:sz w:val="24"/>
          <w:szCs w:val="24"/>
        </w:rPr>
        <w:t xml:space="preserve"> de </w:t>
      </w:r>
      <w:r w:rsidR="00FC1C00">
        <w:rPr>
          <w:sz w:val="24"/>
          <w:szCs w:val="24"/>
        </w:rPr>
        <w:t xml:space="preserve">marzo </w:t>
      </w:r>
      <w:r w:rsidR="009B54F2">
        <w:rPr>
          <w:sz w:val="24"/>
          <w:szCs w:val="24"/>
        </w:rPr>
        <w:t>del 2019 (dos mil diec</w:t>
      </w:r>
      <w:r w:rsidR="003B1AEB">
        <w:rPr>
          <w:sz w:val="24"/>
          <w:szCs w:val="24"/>
        </w:rPr>
        <w:t>inueve)</w:t>
      </w:r>
      <w:r w:rsidR="005175C0" w:rsidRPr="00544911">
        <w:rPr>
          <w:sz w:val="24"/>
          <w:szCs w:val="24"/>
        </w:rPr>
        <w:t xml:space="preserve"> emitidos</w:t>
      </w:r>
      <w:r w:rsidR="005175C0" w:rsidRPr="004D7274">
        <w:rPr>
          <w:sz w:val="24"/>
          <w:szCs w:val="24"/>
        </w:rPr>
        <w:t xml:space="preserve"> por el </w:t>
      </w:r>
      <w:r w:rsidR="00B82D90" w:rsidRPr="004D7274">
        <w:rPr>
          <w:sz w:val="24"/>
          <w:szCs w:val="24"/>
        </w:rPr>
        <w:t>C. J. Jesús Guerrero Zúñiga</w:t>
      </w:r>
      <w:r w:rsidR="005175C0" w:rsidRPr="004D7274">
        <w:rPr>
          <w:sz w:val="24"/>
          <w:szCs w:val="24"/>
        </w:rPr>
        <w:t>,</w:t>
      </w:r>
      <w:r w:rsidR="0090167C">
        <w:rPr>
          <w:sz w:val="24"/>
          <w:szCs w:val="24"/>
        </w:rPr>
        <w:t xml:space="preserve"> </w:t>
      </w:r>
      <w:r w:rsidR="005175C0" w:rsidRPr="004D7274">
        <w:rPr>
          <w:sz w:val="24"/>
          <w:szCs w:val="24"/>
        </w:rPr>
        <w:t xml:space="preserve">en su carácter de </w:t>
      </w:r>
      <w:r w:rsidR="00B82D90" w:rsidRPr="004D7274">
        <w:rPr>
          <w:sz w:val="24"/>
          <w:szCs w:val="24"/>
        </w:rPr>
        <w:t>Presidente</w:t>
      </w:r>
      <w:r w:rsidR="005175C0" w:rsidRPr="004D7274">
        <w:rPr>
          <w:sz w:val="24"/>
          <w:szCs w:val="24"/>
        </w:rPr>
        <w:t xml:space="preserve"> del Comité de</w:t>
      </w:r>
      <w:r w:rsidR="00CC23D4" w:rsidRPr="004D7274">
        <w:rPr>
          <w:sz w:val="24"/>
          <w:szCs w:val="24"/>
        </w:rPr>
        <w:t xml:space="preserve"> Compras Gubernamentales, Contratación de Servicios Arrendamientos y Enajenaciones, para el Municipio de Zapotlán el Grande, </w:t>
      </w:r>
      <w:r w:rsidR="00CC23D4" w:rsidRPr="004D7274">
        <w:rPr>
          <w:rFonts w:cs="Calibri"/>
          <w:sz w:val="24"/>
          <w:szCs w:val="24"/>
        </w:rPr>
        <w:t>se reunieron en la</w:t>
      </w:r>
      <w:r w:rsidR="008379CF">
        <w:rPr>
          <w:rFonts w:cs="Calibri"/>
          <w:sz w:val="24"/>
          <w:szCs w:val="24"/>
        </w:rPr>
        <w:t xml:space="preserve"> sala </w:t>
      </w:r>
      <w:r w:rsidR="00EC495F" w:rsidRPr="004D7274">
        <w:rPr>
          <w:rFonts w:cs="Calibri"/>
          <w:sz w:val="24"/>
          <w:szCs w:val="24"/>
        </w:rPr>
        <w:t xml:space="preserve"> </w:t>
      </w:r>
      <w:r w:rsidR="008379CF">
        <w:rPr>
          <w:rFonts w:cstheme="minorHAnsi"/>
          <w:sz w:val="24"/>
          <w:szCs w:val="24"/>
        </w:rPr>
        <w:t>“María Elena Larios González”</w:t>
      </w:r>
      <w:r w:rsidR="00FC1C00" w:rsidRPr="00714610">
        <w:rPr>
          <w:rFonts w:cstheme="minorHAnsi"/>
          <w:sz w:val="24"/>
          <w:szCs w:val="24"/>
        </w:rPr>
        <w:t xml:space="preserve"> del Palacio Municipal</w:t>
      </w:r>
      <w:r w:rsidR="008379CF">
        <w:rPr>
          <w:rFonts w:cstheme="minorHAnsi"/>
          <w:sz w:val="24"/>
          <w:szCs w:val="24"/>
        </w:rPr>
        <w:t>,</w:t>
      </w:r>
      <w:r w:rsidR="00FC1C00" w:rsidRPr="00714610">
        <w:rPr>
          <w:rFonts w:cstheme="minorHAnsi"/>
          <w:sz w:val="24"/>
          <w:szCs w:val="24"/>
        </w:rPr>
        <w:t xml:space="preserve"> con domicilio en la Avenida Cristóbal Colon # 62 colonia Centro C.P 49000</w:t>
      </w:r>
      <w:r w:rsidR="008379CF">
        <w:rPr>
          <w:rFonts w:cs="Calibri"/>
          <w:sz w:val="24"/>
          <w:szCs w:val="24"/>
        </w:rPr>
        <w:t>;</w:t>
      </w:r>
      <w:r w:rsidR="00FC1C00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>el responsable de los</w:t>
      </w:r>
      <w:r w:rsidR="00CC23D4" w:rsidRPr="004D7274">
        <w:rPr>
          <w:rFonts w:cs="Calibri"/>
          <w:sz w:val="24"/>
          <w:szCs w:val="24"/>
        </w:rPr>
        <w:t xml:space="preserve"> procedimientos el Ing. Héctor Antonio Toscano Barajas, en su calidad de Secretario Té</w:t>
      </w:r>
      <w:r w:rsidR="00EA5C1A">
        <w:rPr>
          <w:rFonts w:cs="Calibri"/>
          <w:sz w:val="24"/>
          <w:szCs w:val="24"/>
        </w:rPr>
        <w:t xml:space="preserve">cnico </w:t>
      </w:r>
      <w:r w:rsidR="003B1AEB">
        <w:rPr>
          <w:rFonts w:cs="Calibri"/>
          <w:sz w:val="24"/>
          <w:szCs w:val="24"/>
        </w:rPr>
        <w:t xml:space="preserve">del Comité </w:t>
      </w:r>
      <w:r w:rsidR="00EA5C1A">
        <w:rPr>
          <w:rFonts w:cs="Calibri"/>
          <w:sz w:val="24"/>
          <w:szCs w:val="24"/>
        </w:rPr>
        <w:t>y Titular de Proveeduría,</w:t>
      </w:r>
      <w:r w:rsidR="00CC23D4" w:rsidRPr="004D7274">
        <w:rPr>
          <w:rFonts w:cs="Calibri"/>
          <w:sz w:val="24"/>
          <w:szCs w:val="24"/>
        </w:rPr>
        <w:t xml:space="preserve"> y por parte de los integrantes del Comité</w:t>
      </w:r>
      <w:r w:rsidR="00EC495F" w:rsidRPr="004D7274">
        <w:rPr>
          <w:rFonts w:cs="Calibri"/>
          <w:sz w:val="24"/>
          <w:szCs w:val="24"/>
        </w:rPr>
        <w:t xml:space="preserve"> de compras </w:t>
      </w:r>
      <w:r w:rsidR="008379CF">
        <w:rPr>
          <w:rFonts w:cs="Calibri"/>
          <w:sz w:val="24"/>
          <w:szCs w:val="24"/>
        </w:rPr>
        <w:t>C. J. Jesús Guerrero Zúñiga</w:t>
      </w:r>
      <w:r w:rsidR="00FC1C00" w:rsidRPr="00714610">
        <w:rPr>
          <w:rFonts w:cs="Calibri"/>
          <w:sz w:val="24"/>
          <w:szCs w:val="24"/>
        </w:rPr>
        <w:t xml:space="preserve"> P</w:t>
      </w:r>
      <w:r w:rsidR="008379CF">
        <w:rPr>
          <w:rFonts w:cs="Calibri"/>
          <w:sz w:val="24"/>
          <w:szCs w:val="24"/>
        </w:rPr>
        <w:t>residente del Comité de Compras,</w:t>
      </w:r>
      <w:r w:rsidR="00FC1C00" w:rsidRPr="00714610">
        <w:rPr>
          <w:rFonts w:cs="Calibri"/>
          <w:sz w:val="24"/>
          <w:szCs w:val="24"/>
        </w:rPr>
        <w:t xml:space="preserve"> en su representación el Regidor Juan José Chávez Flores</w:t>
      </w:r>
      <w:r w:rsidR="00FC1C00" w:rsidRPr="00714610">
        <w:rPr>
          <w:sz w:val="24"/>
          <w:szCs w:val="24"/>
        </w:rPr>
        <w:t>; el Representante de La Cámara Nacional de Comercio Servicios y Turi</w:t>
      </w:r>
      <w:r w:rsidR="008379CF">
        <w:rPr>
          <w:sz w:val="24"/>
          <w:szCs w:val="24"/>
        </w:rPr>
        <w:t>smo de Ciudad Guzmán, Jalisco el</w:t>
      </w:r>
      <w:r w:rsidR="00FC1C00" w:rsidRPr="00714610">
        <w:rPr>
          <w:sz w:val="24"/>
          <w:szCs w:val="24"/>
        </w:rPr>
        <w:t xml:space="preserve"> C. Oscar Manuel Quintero Magaña; </w:t>
      </w:r>
      <w:r w:rsidR="008379CF">
        <w:rPr>
          <w:sz w:val="24"/>
          <w:szCs w:val="24"/>
        </w:rPr>
        <w:t xml:space="preserve">el </w:t>
      </w:r>
      <w:r w:rsidR="00FC1C00" w:rsidRPr="00714610">
        <w:rPr>
          <w:sz w:val="24"/>
          <w:szCs w:val="24"/>
        </w:rPr>
        <w:t>Representante del Colegio de Ingenieros Civiles del Sur del Estado de Jalisco</w:t>
      </w:r>
      <w:r w:rsidR="008379CF">
        <w:rPr>
          <w:sz w:val="24"/>
          <w:szCs w:val="24"/>
        </w:rPr>
        <w:t>, el</w:t>
      </w:r>
      <w:r w:rsidR="00FC1C00" w:rsidRPr="00714610">
        <w:rPr>
          <w:sz w:val="24"/>
          <w:szCs w:val="24"/>
        </w:rPr>
        <w:t xml:space="preserve"> Ing. Jonathan Flores Moreno; </w:t>
      </w:r>
      <w:r w:rsidR="008379CF">
        <w:rPr>
          <w:sz w:val="24"/>
          <w:szCs w:val="24"/>
        </w:rPr>
        <w:t xml:space="preserve">el </w:t>
      </w:r>
      <w:r w:rsidR="00FC1C00" w:rsidRPr="00714610">
        <w:rPr>
          <w:sz w:val="24"/>
          <w:szCs w:val="24"/>
        </w:rPr>
        <w:t>Represent</w:t>
      </w:r>
      <w:r w:rsidR="008379CF">
        <w:rPr>
          <w:sz w:val="24"/>
          <w:szCs w:val="24"/>
        </w:rPr>
        <w:t>ante del Colegio de Arquitectos</w:t>
      </w:r>
      <w:r w:rsidR="00FC1C00" w:rsidRPr="00714610">
        <w:rPr>
          <w:sz w:val="24"/>
          <w:szCs w:val="24"/>
        </w:rPr>
        <w:t xml:space="preserve"> del Sur del Estado de Jalisco</w:t>
      </w:r>
      <w:r w:rsidR="008379CF">
        <w:rPr>
          <w:sz w:val="24"/>
          <w:szCs w:val="24"/>
        </w:rPr>
        <w:t>,</w:t>
      </w:r>
      <w:r w:rsidR="00FC1C00" w:rsidRPr="00714610">
        <w:rPr>
          <w:sz w:val="24"/>
          <w:szCs w:val="24"/>
        </w:rPr>
        <w:t xml:space="preserve"> Arq. Francisco Javier Magaña; </w:t>
      </w:r>
      <w:r w:rsidR="008379CF">
        <w:rPr>
          <w:sz w:val="24"/>
          <w:szCs w:val="24"/>
        </w:rPr>
        <w:t>la</w:t>
      </w:r>
      <w:r w:rsidR="00FC1C00">
        <w:rPr>
          <w:sz w:val="24"/>
          <w:szCs w:val="24"/>
        </w:rPr>
        <w:t xml:space="preserve"> Representante del consejo de Participación Ciudadana, C. Laura Cecilia Contreras Vázquez;  </w:t>
      </w:r>
      <w:r w:rsidR="008379CF">
        <w:rPr>
          <w:sz w:val="24"/>
          <w:szCs w:val="24"/>
        </w:rPr>
        <w:t>el Contralor Municipal,</w:t>
      </w:r>
      <w:r w:rsidR="00FC1C00" w:rsidRPr="00714610">
        <w:rPr>
          <w:sz w:val="24"/>
          <w:szCs w:val="24"/>
        </w:rPr>
        <w:t xml:space="preserve"> </w:t>
      </w:r>
      <w:r w:rsidR="00FC1C00" w:rsidRPr="00714610">
        <w:rPr>
          <w:rFonts w:cstheme="minorHAnsi"/>
          <w:sz w:val="24"/>
          <w:szCs w:val="24"/>
        </w:rPr>
        <w:t>Li</w:t>
      </w:r>
      <w:r w:rsidR="008379CF">
        <w:rPr>
          <w:rFonts w:cstheme="minorHAnsi"/>
          <w:sz w:val="24"/>
          <w:szCs w:val="24"/>
        </w:rPr>
        <w:t xml:space="preserve">c. Héctor Manuel </w:t>
      </w:r>
      <w:proofErr w:type="spellStart"/>
      <w:r w:rsidR="008379CF">
        <w:rPr>
          <w:rFonts w:cstheme="minorHAnsi"/>
          <w:sz w:val="24"/>
          <w:szCs w:val="24"/>
        </w:rPr>
        <w:t>Roló</w:t>
      </w:r>
      <w:r w:rsidR="00FC1C00">
        <w:rPr>
          <w:rFonts w:cstheme="minorHAnsi"/>
          <w:sz w:val="24"/>
          <w:szCs w:val="24"/>
        </w:rPr>
        <w:t>n</w:t>
      </w:r>
      <w:proofErr w:type="spellEnd"/>
      <w:r w:rsidR="00FC1C00">
        <w:rPr>
          <w:rFonts w:cstheme="minorHAnsi"/>
          <w:sz w:val="24"/>
          <w:szCs w:val="24"/>
        </w:rPr>
        <w:t xml:space="preserve"> Murillo</w:t>
      </w:r>
      <w:r w:rsidR="00DC4118" w:rsidRPr="006B6CAF">
        <w:rPr>
          <w:sz w:val="24"/>
          <w:szCs w:val="24"/>
        </w:rPr>
        <w:t xml:space="preserve">; </w:t>
      </w:r>
      <w:r w:rsidR="00A9079B">
        <w:rPr>
          <w:sz w:val="24"/>
          <w:szCs w:val="24"/>
        </w:rPr>
        <w:t>para llevar al cabo la</w:t>
      </w:r>
      <w:r w:rsidR="004D7274" w:rsidRPr="006B6CAF">
        <w:rPr>
          <w:b/>
          <w:sz w:val="24"/>
          <w:szCs w:val="24"/>
        </w:rPr>
        <w:t xml:space="preserve"> </w:t>
      </w:r>
      <w:r w:rsidR="00D34EC4">
        <w:rPr>
          <w:b/>
          <w:sz w:val="24"/>
          <w:szCs w:val="24"/>
        </w:rPr>
        <w:t>Séptima</w:t>
      </w:r>
      <w:r w:rsidR="00EB6E9A" w:rsidRPr="006B6CAF">
        <w:rPr>
          <w:b/>
          <w:sz w:val="24"/>
          <w:szCs w:val="24"/>
        </w:rPr>
        <w:t xml:space="preserve"> </w:t>
      </w:r>
      <w:r w:rsidR="004D7274" w:rsidRPr="006B6CAF">
        <w:rPr>
          <w:b/>
          <w:sz w:val="24"/>
          <w:szCs w:val="24"/>
        </w:rPr>
        <w:t xml:space="preserve"> Sesión Or</w:t>
      </w:r>
      <w:r w:rsidR="004D7274" w:rsidRPr="00F01755">
        <w:rPr>
          <w:b/>
          <w:sz w:val="24"/>
          <w:szCs w:val="24"/>
        </w:rPr>
        <w:t>dinaria</w:t>
      </w:r>
      <w:r w:rsidR="004D7274" w:rsidRPr="00F01755">
        <w:rPr>
          <w:sz w:val="24"/>
          <w:szCs w:val="24"/>
        </w:rPr>
        <w:t xml:space="preserve"> </w:t>
      </w:r>
      <w:r w:rsidR="00DC4118" w:rsidRPr="00F01755">
        <w:rPr>
          <w:sz w:val="24"/>
          <w:szCs w:val="24"/>
        </w:rPr>
        <w:t>bajo el siguiente:</w:t>
      </w:r>
      <w:r w:rsidR="00DC4118" w:rsidRPr="004D7274">
        <w:rPr>
          <w:sz w:val="24"/>
          <w:szCs w:val="24"/>
        </w:rPr>
        <w:t xml:space="preserve"> </w:t>
      </w:r>
    </w:p>
    <w:p w:rsidR="00FC1C00" w:rsidRPr="00D62433" w:rsidRDefault="008379CF" w:rsidP="00D34EC4">
      <w:pPr>
        <w:jc w:val="center"/>
      </w:pPr>
      <w:r>
        <w:t>ORDEN DEL DÍ</w:t>
      </w:r>
      <w:r w:rsidR="00FC1C00" w:rsidRPr="00D62433">
        <w:t xml:space="preserve">A </w:t>
      </w:r>
    </w:p>
    <w:p w:rsidR="00FC1C00" w:rsidRPr="00D62433" w:rsidRDefault="00FC1C00" w:rsidP="00FC1C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2433">
        <w:rPr>
          <w:sz w:val="24"/>
          <w:szCs w:val="24"/>
        </w:rPr>
        <w:t>Lista de asistencia y declaración del quórum legal.</w:t>
      </w:r>
    </w:p>
    <w:p w:rsidR="00FC1C00" w:rsidRPr="00D62433" w:rsidRDefault="00FC1C00" w:rsidP="00FC1C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2433">
        <w:rPr>
          <w:sz w:val="24"/>
          <w:szCs w:val="24"/>
        </w:rPr>
        <w:t xml:space="preserve">Lectura y aprobación del orden del día. </w:t>
      </w:r>
    </w:p>
    <w:p w:rsidR="00FC1C00" w:rsidRPr="00D62433" w:rsidRDefault="00FC1C00" w:rsidP="00FC1C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2433">
        <w:rPr>
          <w:sz w:val="24"/>
          <w:szCs w:val="24"/>
        </w:rPr>
        <w:t xml:space="preserve">Lectura y aprobación  del acta anterior </w:t>
      </w:r>
    </w:p>
    <w:p w:rsidR="00FC1C00" w:rsidRPr="00D62433" w:rsidRDefault="00FC1C00" w:rsidP="00FC1C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2433">
        <w:rPr>
          <w:sz w:val="24"/>
          <w:szCs w:val="24"/>
        </w:rPr>
        <w:t>Análisis y aprobación en su caso de la Adquisición de 32,000 kilos de Emulsión Asfáltica Súper Estable al 65% para bacheo.  Solicitada por la Dirección de Obras Públicas.</w:t>
      </w:r>
    </w:p>
    <w:p w:rsidR="00FC1C00" w:rsidRPr="00D62433" w:rsidRDefault="00FC1C00" w:rsidP="00FC1C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2433">
        <w:rPr>
          <w:sz w:val="24"/>
          <w:szCs w:val="24"/>
        </w:rPr>
        <w:t>Clausura por parte del Presidente del Comité de Compras.</w:t>
      </w:r>
    </w:p>
    <w:p w:rsidR="0070468A" w:rsidRPr="00CD15EC" w:rsidRDefault="0070468A" w:rsidP="0070468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157D3" w:rsidRPr="00D34EC4" w:rsidRDefault="0037564C" w:rsidP="00D34EC4">
      <w:pPr>
        <w:jc w:val="both"/>
        <w:rPr>
          <w:sz w:val="24"/>
          <w:szCs w:val="24"/>
        </w:rPr>
      </w:pPr>
      <w:r w:rsidRPr="004D7274">
        <w:rPr>
          <w:b/>
          <w:sz w:val="24"/>
          <w:szCs w:val="24"/>
          <w:u w:val="single"/>
        </w:rPr>
        <w:lastRenderedPageBreak/>
        <w:t>PR</w:t>
      </w:r>
      <w:r w:rsidR="007B34B8" w:rsidRPr="004D7274">
        <w:rPr>
          <w:b/>
          <w:sz w:val="24"/>
          <w:szCs w:val="24"/>
          <w:u w:val="single"/>
        </w:rPr>
        <w:t>IMER PUNTO:</w:t>
      </w:r>
      <w:r w:rsidR="007B34B8" w:rsidRPr="004D7274">
        <w:rPr>
          <w:sz w:val="24"/>
          <w:szCs w:val="24"/>
        </w:rPr>
        <w:t xml:space="preserve"> Lista de asistencia</w:t>
      </w:r>
      <w:r w:rsidR="0090167C">
        <w:rPr>
          <w:sz w:val="24"/>
          <w:szCs w:val="24"/>
        </w:rPr>
        <w:t xml:space="preserve"> y declaración de quórum legal,</w:t>
      </w:r>
      <w:r w:rsidRPr="004D7274">
        <w:rPr>
          <w:sz w:val="24"/>
          <w:szCs w:val="24"/>
        </w:rPr>
        <w:t xml:space="preserve"> se procede a tomar lista de asistencia, contando con la presencia de </w:t>
      </w:r>
      <w:r w:rsidR="00FC1C00">
        <w:rPr>
          <w:sz w:val="24"/>
          <w:szCs w:val="24"/>
        </w:rPr>
        <w:t>6</w:t>
      </w:r>
      <w:r w:rsidRPr="004D7274">
        <w:rPr>
          <w:sz w:val="24"/>
          <w:szCs w:val="24"/>
        </w:rPr>
        <w:t xml:space="preserve"> Integrantes del </w:t>
      </w:r>
      <w:r w:rsidR="001129BE" w:rsidRPr="004D7274">
        <w:rPr>
          <w:sz w:val="24"/>
          <w:szCs w:val="24"/>
        </w:rPr>
        <w:t>Com</w:t>
      </w:r>
      <w:r w:rsidR="001129BE">
        <w:rPr>
          <w:sz w:val="24"/>
          <w:szCs w:val="24"/>
        </w:rPr>
        <w:t>i</w:t>
      </w:r>
      <w:r w:rsidR="001129BE" w:rsidRPr="004D7274">
        <w:rPr>
          <w:sz w:val="24"/>
          <w:szCs w:val="24"/>
        </w:rPr>
        <w:t>té</w:t>
      </w:r>
      <w:r w:rsidRPr="004D7274">
        <w:rPr>
          <w:sz w:val="24"/>
          <w:szCs w:val="24"/>
        </w:rPr>
        <w:t xml:space="preserve"> de Compras Gubernamentales, Contratación de A</w:t>
      </w:r>
      <w:r w:rsidR="00EA5C1A"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Municipio de Zapotlán el Grande Jalisco</w:t>
      </w:r>
      <w:r w:rsidR="008379CF">
        <w:rPr>
          <w:sz w:val="24"/>
          <w:szCs w:val="24"/>
        </w:rPr>
        <w:t>;</w:t>
      </w:r>
      <w:r w:rsidR="007B34B8" w:rsidRPr="004D7274">
        <w:rPr>
          <w:sz w:val="24"/>
          <w:szCs w:val="24"/>
        </w:rPr>
        <w:t xml:space="preserve"> </w:t>
      </w:r>
      <w:r w:rsidR="008379CF">
        <w:rPr>
          <w:sz w:val="24"/>
          <w:szCs w:val="24"/>
        </w:rPr>
        <w:t xml:space="preserve">el </w:t>
      </w:r>
      <w:r w:rsidR="008379CF">
        <w:rPr>
          <w:rFonts w:cs="Calibri"/>
          <w:sz w:val="24"/>
          <w:szCs w:val="24"/>
        </w:rPr>
        <w:t>C. J. Jesús Guerrero Zúñiga</w:t>
      </w:r>
      <w:r w:rsidR="00A41C40" w:rsidRPr="00714610">
        <w:rPr>
          <w:rFonts w:cs="Calibri"/>
          <w:sz w:val="24"/>
          <w:szCs w:val="24"/>
        </w:rPr>
        <w:t xml:space="preserve"> P</w:t>
      </w:r>
      <w:r w:rsidR="008379CF">
        <w:rPr>
          <w:rFonts w:cs="Calibri"/>
          <w:sz w:val="24"/>
          <w:szCs w:val="24"/>
        </w:rPr>
        <w:t>residente del Comité de Compras,</w:t>
      </w:r>
      <w:r w:rsidR="00A41C40" w:rsidRPr="00714610">
        <w:rPr>
          <w:rFonts w:cs="Calibri"/>
          <w:sz w:val="24"/>
          <w:szCs w:val="24"/>
        </w:rPr>
        <w:t xml:space="preserve"> en su representación el Regidor Juan José Chávez Flores</w:t>
      </w:r>
      <w:r w:rsidR="00A41C40" w:rsidRPr="00714610">
        <w:rPr>
          <w:sz w:val="24"/>
          <w:szCs w:val="24"/>
        </w:rPr>
        <w:t>; el Representante de La Cámara Nacional de Comercio Servicios y Turi</w:t>
      </w:r>
      <w:r w:rsidR="008379CF">
        <w:rPr>
          <w:sz w:val="24"/>
          <w:szCs w:val="24"/>
        </w:rPr>
        <w:t>smo de Ciudad Guzmán, Jalisco el</w:t>
      </w:r>
      <w:r w:rsidR="00A41C40" w:rsidRPr="00714610">
        <w:rPr>
          <w:sz w:val="24"/>
          <w:szCs w:val="24"/>
        </w:rPr>
        <w:t xml:space="preserve"> C. Oscar Manuel Quintero Magaña; Representante del Colegio de Ingenieros Civiles del Sur del Estado de Jalisco</w:t>
      </w:r>
      <w:r w:rsidR="008379CF">
        <w:rPr>
          <w:sz w:val="24"/>
          <w:szCs w:val="24"/>
        </w:rPr>
        <w:t>,</w:t>
      </w:r>
      <w:r w:rsidR="00A41C40" w:rsidRPr="00714610">
        <w:rPr>
          <w:sz w:val="24"/>
          <w:szCs w:val="24"/>
        </w:rPr>
        <w:t xml:space="preserve"> el  Ing. Jonathan Flores Moreno; Representante del Colegio de Arquitectos  del Sur del Estado de Jalisco</w:t>
      </w:r>
      <w:r w:rsidR="008379CF">
        <w:rPr>
          <w:sz w:val="24"/>
          <w:szCs w:val="24"/>
        </w:rPr>
        <w:t>,</w:t>
      </w:r>
      <w:r w:rsidR="00A41C40" w:rsidRPr="00714610">
        <w:rPr>
          <w:sz w:val="24"/>
          <w:szCs w:val="24"/>
        </w:rPr>
        <w:t xml:space="preserve"> Arq. Francisco Javier Magaña; </w:t>
      </w:r>
      <w:r w:rsidR="00A41C40">
        <w:rPr>
          <w:sz w:val="24"/>
          <w:szCs w:val="24"/>
        </w:rPr>
        <w:t xml:space="preserve"> Representante del consejo de Participación Ciudadana, C. L</w:t>
      </w:r>
      <w:r w:rsidR="008379CF">
        <w:rPr>
          <w:sz w:val="24"/>
          <w:szCs w:val="24"/>
        </w:rPr>
        <w:t>aura Cecilia Contreras Vázquez;</w:t>
      </w:r>
      <w:r w:rsidR="00A41C40">
        <w:rPr>
          <w:sz w:val="24"/>
          <w:szCs w:val="24"/>
        </w:rPr>
        <w:t xml:space="preserve"> </w:t>
      </w:r>
      <w:r w:rsidR="00A41C40" w:rsidRPr="00714610">
        <w:rPr>
          <w:sz w:val="24"/>
          <w:szCs w:val="24"/>
        </w:rPr>
        <w:t>Contralor Municipal</w:t>
      </w:r>
      <w:r w:rsidR="008379CF">
        <w:rPr>
          <w:sz w:val="24"/>
          <w:szCs w:val="24"/>
        </w:rPr>
        <w:t>,</w:t>
      </w:r>
      <w:r w:rsidR="00A41C40" w:rsidRPr="00714610">
        <w:rPr>
          <w:sz w:val="24"/>
          <w:szCs w:val="24"/>
        </w:rPr>
        <w:t xml:space="preserve"> </w:t>
      </w:r>
      <w:r w:rsidR="00A41C40" w:rsidRPr="00714610">
        <w:rPr>
          <w:rFonts w:cstheme="minorHAnsi"/>
          <w:sz w:val="24"/>
          <w:szCs w:val="24"/>
        </w:rPr>
        <w:t>Li</w:t>
      </w:r>
      <w:r w:rsidR="008379CF">
        <w:rPr>
          <w:rFonts w:cstheme="minorHAnsi"/>
          <w:sz w:val="24"/>
          <w:szCs w:val="24"/>
        </w:rPr>
        <w:t xml:space="preserve">c. Héctor Manuel </w:t>
      </w:r>
      <w:proofErr w:type="spellStart"/>
      <w:r w:rsidR="008379CF">
        <w:rPr>
          <w:rFonts w:cstheme="minorHAnsi"/>
          <w:sz w:val="24"/>
          <w:szCs w:val="24"/>
        </w:rPr>
        <w:t>Roló</w:t>
      </w:r>
      <w:r w:rsidR="00A41C40">
        <w:rPr>
          <w:rFonts w:cstheme="minorHAnsi"/>
          <w:sz w:val="24"/>
          <w:szCs w:val="24"/>
        </w:rPr>
        <w:t>n</w:t>
      </w:r>
      <w:proofErr w:type="spellEnd"/>
      <w:r w:rsidR="00A41C40">
        <w:rPr>
          <w:rFonts w:cstheme="minorHAnsi"/>
          <w:sz w:val="24"/>
          <w:szCs w:val="24"/>
        </w:rPr>
        <w:t xml:space="preserve"> Murillo</w:t>
      </w:r>
      <w:r w:rsidR="00F83136" w:rsidRPr="00EA15D9">
        <w:rPr>
          <w:sz w:val="24"/>
          <w:szCs w:val="24"/>
        </w:rPr>
        <w:t>;</w:t>
      </w:r>
      <w:r w:rsidR="004D7274" w:rsidRPr="00EA15D9">
        <w:rPr>
          <w:sz w:val="24"/>
          <w:szCs w:val="24"/>
        </w:rPr>
        <w:t xml:space="preserve"> </w:t>
      </w:r>
      <w:r w:rsidR="00D46084" w:rsidRPr="00EA15D9">
        <w:rPr>
          <w:rFonts w:cs="Calibri"/>
          <w:sz w:val="24"/>
          <w:szCs w:val="24"/>
        </w:rPr>
        <w:t>Por lo tanto existe el número de integrantes</w:t>
      </w:r>
      <w:r w:rsidR="00D46084" w:rsidRPr="00A4597E">
        <w:rPr>
          <w:rFonts w:cs="Calibri"/>
          <w:sz w:val="24"/>
          <w:szCs w:val="24"/>
        </w:rPr>
        <w:t xml:space="preserve"> para establecer el quórum legal para sesionar. A continuación </w:t>
      </w:r>
      <w:r w:rsidR="00D46084">
        <w:rPr>
          <w:rFonts w:cs="Calibri"/>
          <w:sz w:val="24"/>
          <w:szCs w:val="24"/>
        </w:rPr>
        <w:t>el</w:t>
      </w:r>
      <w:r w:rsidR="00D46084" w:rsidRPr="00A4597E">
        <w:rPr>
          <w:rFonts w:cs="Calibri"/>
          <w:sz w:val="24"/>
          <w:szCs w:val="24"/>
        </w:rPr>
        <w:t xml:space="preserve"> </w:t>
      </w:r>
      <w:r w:rsidR="00D46084" w:rsidRPr="004D7274">
        <w:rPr>
          <w:rFonts w:cs="Calibri"/>
          <w:sz w:val="24"/>
          <w:szCs w:val="24"/>
        </w:rPr>
        <w:t>Regidor Juan José Chávez Flores</w:t>
      </w:r>
      <w:r w:rsidR="00D46084">
        <w:rPr>
          <w:rFonts w:cs="Calibri"/>
          <w:sz w:val="24"/>
          <w:szCs w:val="24"/>
        </w:rPr>
        <w:t xml:space="preserve"> re</w:t>
      </w:r>
      <w:r w:rsidR="00A9079B">
        <w:rPr>
          <w:rFonts w:cs="Calibri"/>
          <w:sz w:val="24"/>
          <w:szCs w:val="24"/>
        </w:rPr>
        <w:t>presentante del Presidente del C</w:t>
      </w:r>
      <w:r w:rsidR="00D46084">
        <w:rPr>
          <w:rFonts w:cs="Calibri"/>
          <w:sz w:val="24"/>
          <w:szCs w:val="24"/>
        </w:rPr>
        <w:t>omité de Compras,</w:t>
      </w:r>
      <w:r w:rsidR="00D46084" w:rsidRPr="00A4597E">
        <w:rPr>
          <w:rFonts w:cs="Calibri"/>
          <w:sz w:val="24"/>
          <w:szCs w:val="24"/>
        </w:rPr>
        <w:t xml:space="preserve"> declara el quórum legal e instala legalmente la asamblea, siendo las </w:t>
      </w:r>
      <w:r w:rsidR="00F83136">
        <w:rPr>
          <w:rFonts w:cs="Calibri"/>
          <w:sz w:val="24"/>
          <w:szCs w:val="24"/>
        </w:rPr>
        <w:t>1</w:t>
      </w:r>
      <w:r w:rsidR="00A83DD9">
        <w:rPr>
          <w:rFonts w:cs="Calibri"/>
          <w:sz w:val="24"/>
          <w:szCs w:val="24"/>
        </w:rPr>
        <w:t>1:3</w:t>
      </w:r>
      <w:r w:rsidR="00F83136">
        <w:rPr>
          <w:rFonts w:cs="Calibri"/>
          <w:sz w:val="24"/>
          <w:szCs w:val="24"/>
        </w:rPr>
        <w:t>0</w:t>
      </w:r>
      <w:r w:rsidR="00D46084" w:rsidRPr="00A4597E">
        <w:rPr>
          <w:rFonts w:cs="Calibri"/>
          <w:sz w:val="24"/>
          <w:szCs w:val="24"/>
        </w:rPr>
        <w:t xml:space="preserve"> (</w:t>
      </w:r>
      <w:r w:rsidR="008379CF">
        <w:rPr>
          <w:rFonts w:cs="Calibri"/>
          <w:sz w:val="24"/>
          <w:szCs w:val="24"/>
        </w:rPr>
        <w:t>once</w:t>
      </w:r>
      <w:r w:rsidR="00F83136">
        <w:rPr>
          <w:rFonts w:cs="Calibri"/>
          <w:sz w:val="24"/>
          <w:szCs w:val="24"/>
        </w:rPr>
        <w:t xml:space="preserve"> horas</w:t>
      </w:r>
      <w:r w:rsidR="00A83DD9">
        <w:rPr>
          <w:rFonts w:cs="Calibri"/>
          <w:sz w:val="24"/>
          <w:szCs w:val="24"/>
        </w:rPr>
        <w:t xml:space="preserve"> con treinta minutos</w:t>
      </w:r>
      <w:r w:rsidR="00D46084" w:rsidRPr="00A4597E">
        <w:rPr>
          <w:rFonts w:cs="Calibri"/>
          <w:sz w:val="24"/>
          <w:szCs w:val="24"/>
        </w:rPr>
        <w:t>)</w:t>
      </w:r>
      <w:r w:rsidR="00AE4523">
        <w:rPr>
          <w:rFonts w:cs="Calibri"/>
          <w:sz w:val="24"/>
          <w:szCs w:val="24"/>
        </w:rPr>
        <w:t xml:space="preserve"> del día </w:t>
      </w:r>
      <w:r w:rsidR="00A83DD9">
        <w:rPr>
          <w:rFonts w:cs="Calibri"/>
          <w:sz w:val="24"/>
          <w:szCs w:val="24"/>
        </w:rPr>
        <w:t>20 (veinte</w:t>
      </w:r>
      <w:r w:rsidR="00F83136">
        <w:rPr>
          <w:rFonts w:cs="Calibri"/>
          <w:sz w:val="24"/>
          <w:szCs w:val="24"/>
        </w:rPr>
        <w:t>)</w:t>
      </w:r>
      <w:r w:rsidR="00A574F8">
        <w:rPr>
          <w:rFonts w:cs="Calibri"/>
          <w:sz w:val="24"/>
          <w:szCs w:val="24"/>
        </w:rPr>
        <w:t xml:space="preserve"> </w:t>
      </w:r>
      <w:r w:rsidR="00AE4523">
        <w:rPr>
          <w:rFonts w:cs="Calibri"/>
          <w:sz w:val="24"/>
          <w:szCs w:val="24"/>
        </w:rPr>
        <w:t xml:space="preserve">de </w:t>
      </w:r>
      <w:r w:rsidR="00A83DD9">
        <w:rPr>
          <w:rFonts w:cs="Calibri"/>
          <w:sz w:val="24"/>
          <w:szCs w:val="24"/>
        </w:rPr>
        <w:t>marzo</w:t>
      </w:r>
      <w:r w:rsidR="00AE4523">
        <w:rPr>
          <w:rFonts w:cs="Calibri"/>
          <w:sz w:val="24"/>
          <w:szCs w:val="24"/>
        </w:rPr>
        <w:t xml:space="preserve"> de 201</w:t>
      </w:r>
      <w:r w:rsidR="00A574F8">
        <w:rPr>
          <w:rFonts w:cs="Calibri"/>
          <w:sz w:val="24"/>
          <w:szCs w:val="24"/>
        </w:rPr>
        <w:t>9</w:t>
      </w:r>
      <w:r w:rsidR="00D46084" w:rsidRPr="00A4597E">
        <w:rPr>
          <w:rFonts w:cs="Calibri"/>
          <w:sz w:val="24"/>
          <w:szCs w:val="24"/>
        </w:rPr>
        <w:t>,</w:t>
      </w:r>
      <w:r w:rsidR="00A574F8">
        <w:rPr>
          <w:rFonts w:cs="Calibri"/>
          <w:sz w:val="24"/>
          <w:szCs w:val="24"/>
        </w:rPr>
        <w:t xml:space="preserve"> (dos mil diecinueve)</w:t>
      </w:r>
      <w:r w:rsidR="00D46084" w:rsidRPr="00A4597E">
        <w:rPr>
          <w:rFonts w:cs="Calibri"/>
          <w:sz w:val="24"/>
          <w:szCs w:val="24"/>
        </w:rPr>
        <w:t xml:space="preserve"> de conformidad con lo que establece el Art. </w:t>
      </w:r>
      <w:r w:rsidR="00223366">
        <w:rPr>
          <w:rFonts w:cs="Calibri"/>
          <w:sz w:val="24"/>
          <w:szCs w:val="24"/>
        </w:rPr>
        <w:t xml:space="preserve">24 del </w:t>
      </w:r>
      <w:r w:rsidR="00223366" w:rsidRPr="004D7274">
        <w:rPr>
          <w:sz w:val="24"/>
          <w:szCs w:val="24"/>
        </w:rPr>
        <w:t xml:space="preserve">Reglamento de Compras Gubernamentales, Contratación de Arrendamientos y Enajenaciones, </w:t>
      </w:r>
      <w:r w:rsidR="008379CF">
        <w:rPr>
          <w:sz w:val="24"/>
          <w:szCs w:val="24"/>
        </w:rPr>
        <w:t>p</w:t>
      </w:r>
      <w:r w:rsidR="00223366" w:rsidRPr="004D7274">
        <w:rPr>
          <w:sz w:val="24"/>
          <w:szCs w:val="24"/>
        </w:rPr>
        <w:t>ara el Municipio de Zapotlán el Grande Jalisco</w:t>
      </w:r>
      <w:r w:rsidR="00223366">
        <w:rPr>
          <w:sz w:val="24"/>
          <w:szCs w:val="24"/>
        </w:rPr>
        <w:t xml:space="preserve"> y el Art.</w:t>
      </w:r>
      <w:r w:rsidR="00223366">
        <w:rPr>
          <w:rFonts w:cs="Calibri"/>
          <w:sz w:val="24"/>
          <w:szCs w:val="24"/>
        </w:rPr>
        <w:t xml:space="preserve"> </w:t>
      </w:r>
      <w:r w:rsidR="00D46084">
        <w:rPr>
          <w:rFonts w:cs="Calibri"/>
          <w:sz w:val="24"/>
          <w:szCs w:val="24"/>
        </w:rPr>
        <w:t>28</w:t>
      </w:r>
      <w:r w:rsidR="00D46084" w:rsidRPr="00A4597E">
        <w:rPr>
          <w:rFonts w:cs="Calibri"/>
          <w:sz w:val="24"/>
          <w:szCs w:val="24"/>
        </w:rPr>
        <w:t xml:space="preserve"> </w:t>
      </w:r>
      <w:r w:rsidR="00A27018">
        <w:rPr>
          <w:rFonts w:cs="Calibri"/>
          <w:sz w:val="24"/>
          <w:szCs w:val="24"/>
        </w:rPr>
        <w:t>numeral</w:t>
      </w:r>
      <w:r w:rsidR="00D46084">
        <w:rPr>
          <w:rFonts w:cs="Calibri"/>
          <w:sz w:val="24"/>
          <w:szCs w:val="24"/>
        </w:rPr>
        <w:t xml:space="preserve"> 2 de la L</w:t>
      </w:r>
      <w:r w:rsidR="00D46084" w:rsidRPr="00A4597E">
        <w:rPr>
          <w:rFonts w:cs="Calibri"/>
          <w:sz w:val="24"/>
          <w:szCs w:val="24"/>
        </w:rPr>
        <w:t>ey de Compras Gubernamentales, Enajenación y Contratación de Servicios del Estado de Jalisco y</w:t>
      </w:r>
      <w:r w:rsidR="00AD07BD">
        <w:rPr>
          <w:rFonts w:cs="Calibri"/>
          <w:sz w:val="24"/>
          <w:szCs w:val="24"/>
        </w:rPr>
        <w:t xml:space="preserve"> </w:t>
      </w:r>
      <w:r w:rsidR="00AD07BD" w:rsidRPr="003F72B2">
        <w:rPr>
          <w:rFonts w:cs="Calibri"/>
          <w:sz w:val="24"/>
          <w:szCs w:val="24"/>
        </w:rPr>
        <w:t>sus Municipios, declarándose vá</w:t>
      </w:r>
      <w:r w:rsidR="00D46084" w:rsidRPr="003F72B2">
        <w:rPr>
          <w:rFonts w:cs="Calibri"/>
          <w:sz w:val="24"/>
          <w:szCs w:val="24"/>
        </w:rPr>
        <w:t>lidos los acuerdos que en la presente sesión se emanen</w:t>
      </w:r>
      <w:r w:rsidR="00223366" w:rsidRPr="003F72B2">
        <w:rPr>
          <w:rFonts w:cs="Calibri"/>
          <w:sz w:val="24"/>
          <w:szCs w:val="24"/>
        </w:rPr>
        <w:t xml:space="preserve">. </w:t>
      </w:r>
    </w:p>
    <w:p w:rsidR="007157D3" w:rsidRDefault="00A811D6" w:rsidP="00D64207">
      <w:pPr>
        <w:spacing w:after="0" w:line="240" w:lineRule="auto"/>
        <w:jc w:val="both"/>
        <w:rPr>
          <w:b/>
          <w:sz w:val="24"/>
          <w:szCs w:val="24"/>
        </w:rPr>
      </w:pPr>
      <w:r w:rsidRPr="003F72B2">
        <w:rPr>
          <w:b/>
          <w:sz w:val="24"/>
          <w:szCs w:val="24"/>
          <w:u w:val="single"/>
        </w:rPr>
        <w:t>SEGUNDO PUNTO:</w:t>
      </w:r>
      <w:r w:rsidRPr="003F72B2">
        <w:rPr>
          <w:sz w:val="24"/>
          <w:szCs w:val="24"/>
        </w:rPr>
        <w:t xml:space="preserve"> </w:t>
      </w:r>
      <w:r w:rsidR="00E5707C" w:rsidRPr="003F72B2">
        <w:rPr>
          <w:sz w:val="24"/>
          <w:szCs w:val="24"/>
        </w:rPr>
        <w:t>Lectura</w:t>
      </w:r>
      <w:r w:rsidR="00E5707C" w:rsidRPr="003F72B2">
        <w:rPr>
          <w:sz w:val="16"/>
          <w:szCs w:val="24"/>
        </w:rPr>
        <w:t xml:space="preserve"> </w:t>
      </w:r>
      <w:r w:rsidR="00E5707C" w:rsidRPr="004D7274">
        <w:rPr>
          <w:sz w:val="24"/>
          <w:szCs w:val="24"/>
        </w:rPr>
        <w:t>y aprobación del orden del día. El Ingeniero Héctor Antonio Toscano Barajas, en su carácter de Secretario Técnico del Comité de Compras, come</w:t>
      </w:r>
      <w:r w:rsidR="00A27018">
        <w:rPr>
          <w:sz w:val="24"/>
          <w:szCs w:val="24"/>
        </w:rPr>
        <w:t>n</w:t>
      </w:r>
      <w:r w:rsidR="00E5707C" w:rsidRPr="004D7274">
        <w:rPr>
          <w:sz w:val="24"/>
          <w:szCs w:val="24"/>
        </w:rPr>
        <w:t xml:space="preserve">ta que una vez que se ha leído el orden del día, solicita su aprobación. </w:t>
      </w:r>
      <w:r w:rsidR="00E5707C" w:rsidRPr="004D7274">
        <w:rPr>
          <w:b/>
          <w:sz w:val="24"/>
          <w:szCs w:val="24"/>
        </w:rPr>
        <w:t xml:space="preserve">SE APRUEBA POR UNANIMIDAD DE </w:t>
      </w:r>
      <w:r w:rsidR="00663EF4" w:rsidRPr="004D7274">
        <w:rPr>
          <w:b/>
          <w:sz w:val="24"/>
          <w:szCs w:val="24"/>
        </w:rPr>
        <w:t xml:space="preserve">LOS </w:t>
      </w:r>
      <w:r w:rsidR="00663EF4">
        <w:rPr>
          <w:b/>
          <w:sz w:val="24"/>
          <w:szCs w:val="24"/>
        </w:rPr>
        <w:t xml:space="preserve">INTEGRANTES DEL COMITÉ </w:t>
      </w:r>
      <w:r w:rsidR="00E5707C" w:rsidRPr="004D7274">
        <w:rPr>
          <w:b/>
          <w:sz w:val="24"/>
          <w:szCs w:val="24"/>
        </w:rPr>
        <w:t xml:space="preserve">PRESENTES: </w:t>
      </w:r>
    </w:p>
    <w:p w:rsidR="00D34EC4" w:rsidRPr="00D34EC4" w:rsidRDefault="00D34EC4" w:rsidP="00D64207">
      <w:pPr>
        <w:spacing w:after="0" w:line="240" w:lineRule="auto"/>
        <w:jc w:val="both"/>
        <w:rPr>
          <w:b/>
          <w:sz w:val="24"/>
          <w:szCs w:val="24"/>
        </w:rPr>
      </w:pPr>
    </w:p>
    <w:p w:rsidR="00443FD9" w:rsidRDefault="00443FD9" w:rsidP="00D64207">
      <w:pPr>
        <w:spacing w:after="0" w:line="240" w:lineRule="auto"/>
        <w:jc w:val="both"/>
        <w:rPr>
          <w:b/>
          <w:sz w:val="24"/>
          <w:szCs w:val="24"/>
        </w:rPr>
      </w:pPr>
      <w:r w:rsidRPr="00AE0DC6">
        <w:rPr>
          <w:b/>
          <w:sz w:val="24"/>
          <w:szCs w:val="24"/>
          <w:u w:val="single"/>
        </w:rPr>
        <w:t>TERCER PUNTO</w:t>
      </w:r>
      <w:r>
        <w:rPr>
          <w:b/>
          <w:sz w:val="24"/>
          <w:szCs w:val="24"/>
          <w:u w:val="single"/>
        </w:rPr>
        <w:t xml:space="preserve">: </w:t>
      </w:r>
      <w:r w:rsidRPr="008D0D85">
        <w:rPr>
          <w:sz w:val="24"/>
          <w:szCs w:val="24"/>
        </w:rPr>
        <w:t>Lectura del acta anterior</w:t>
      </w:r>
      <w:r w:rsidRPr="008A47D6">
        <w:rPr>
          <w:sz w:val="28"/>
          <w:szCs w:val="28"/>
        </w:rPr>
        <w:t xml:space="preserve">. </w:t>
      </w:r>
      <w:r w:rsidR="0003644A" w:rsidRPr="004D7274">
        <w:rPr>
          <w:sz w:val="24"/>
          <w:szCs w:val="24"/>
        </w:rPr>
        <w:t>El Ingeniero Héctor Antonio Toscano Barajas, en su carácter de Secretario Técnico del Comité de Compras</w:t>
      </w:r>
      <w:r w:rsidR="0003644A">
        <w:rPr>
          <w:sz w:val="24"/>
          <w:szCs w:val="24"/>
        </w:rPr>
        <w:t xml:space="preserve">; </w:t>
      </w:r>
      <w:r w:rsidR="008D0D85" w:rsidRPr="008D0D85">
        <w:rPr>
          <w:sz w:val="24"/>
          <w:szCs w:val="24"/>
        </w:rPr>
        <w:t xml:space="preserve">Les enviamos </w:t>
      </w:r>
      <w:r w:rsidR="008D0D85">
        <w:rPr>
          <w:sz w:val="24"/>
          <w:szCs w:val="24"/>
        </w:rPr>
        <w:t xml:space="preserve">las dos actas que se generaron de la sesión anterior </w:t>
      </w:r>
      <w:r w:rsidR="008D0D85" w:rsidRPr="008D0D85">
        <w:rPr>
          <w:sz w:val="24"/>
          <w:szCs w:val="24"/>
        </w:rPr>
        <w:t>para su revisión, por lo que les solicito quienes estén de acuerdo en la aprobación de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>l</w:t>
      </w:r>
      <w:r w:rsidR="008D0D85">
        <w:rPr>
          <w:sz w:val="24"/>
          <w:szCs w:val="24"/>
        </w:rPr>
        <w:t xml:space="preserve">as actas </w:t>
      </w:r>
      <w:r w:rsidR="008D0D85" w:rsidRPr="008D0D85">
        <w:rPr>
          <w:sz w:val="24"/>
          <w:szCs w:val="24"/>
        </w:rPr>
        <w:t>anterior</w:t>
      </w:r>
      <w:r w:rsidR="005B3945">
        <w:rPr>
          <w:sz w:val="24"/>
          <w:szCs w:val="24"/>
        </w:rPr>
        <w:t>es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 xml:space="preserve">favor de expresarlo levantando su mano. </w:t>
      </w:r>
      <w:r w:rsidR="008D0D85" w:rsidRPr="008D0D85">
        <w:rPr>
          <w:b/>
          <w:sz w:val="24"/>
          <w:szCs w:val="24"/>
        </w:rPr>
        <w:t>SE APRUEBA POR UNANIMIDAD DE LOS INTEGRANTES DE LA COMISIÓN PRESENTES</w:t>
      </w:r>
      <w:r w:rsidR="008D0D85" w:rsidRPr="008D0D85">
        <w:rPr>
          <w:sz w:val="24"/>
          <w:szCs w:val="24"/>
        </w:rPr>
        <w:t>, pasamos al siguiente punto.--------------------------------------</w:t>
      </w:r>
    </w:p>
    <w:p w:rsidR="007157D3" w:rsidRDefault="007157D3" w:rsidP="007157D3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43FD9" w:rsidRDefault="00443FD9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CUARTO PUNTO</w:t>
      </w:r>
      <w:r w:rsidR="0090167C">
        <w:rPr>
          <w:b/>
          <w:sz w:val="24"/>
          <w:szCs w:val="24"/>
          <w:u w:val="single"/>
        </w:rPr>
        <w:t>:</w:t>
      </w:r>
      <w:r w:rsidR="00A73E91">
        <w:rPr>
          <w:b/>
          <w:sz w:val="24"/>
          <w:szCs w:val="24"/>
        </w:rPr>
        <w:t xml:space="preserve"> </w:t>
      </w:r>
      <w:r w:rsidR="00A73E91">
        <w:rPr>
          <w:sz w:val="24"/>
          <w:szCs w:val="24"/>
        </w:rPr>
        <w:t>A</w:t>
      </w:r>
      <w:r w:rsidR="00A73E91" w:rsidRPr="00A73E91">
        <w:rPr>
          <w:sz w:val="24"/>
          <w:szCs w:val="24"/>
        </w:rPr>
        <w:t>nálisis y aprobación en su caso de la Adquisición de 32,000 kilos de Emulsión Asfáltica Sú</w:t>
      </w:r>
      <w:r w:rsidR="008379CF">
        <w:rPr>
          <w:sz w:val="24"/>
          <w:szCs w:val="24"/>
        </w:rPr>
        <w:t>per Estable al 65% para bacheo, s</w:t>
      </w:r>
      <w:r w:rsidR="00A73E91" w:rsidRPr="00A73E91">
        <w:rPr>
          <w:sz w:val="24"/>
          <w:szCs w:val="24"/>
        </w:rPr>
        <w:t>olicitada por la Dirección de Obras Públicas</w:t>
      </w:r>
      <w:r w:rsidRPr="008D0D85">
        <w:rPr>
          <w:sz w:val="24"/>
          <w:szCs w:val="24"/>
        </w:rPr>
        <w:t>.</w:t>
      </w:r>
      <w:r w:rsidR="008D0D85">
        <w:rPr>
          <w:sz w:val="24"/>
          <w:szCs w:val="24"/>
        </w:rPr>
        <w:t xml:space="preserve"> </w:t>
      </w:r>
      <w:r w:rsidR="008D0D85" w:rsidRPr="002F5682">
        <w:rPr>
          <w:sz w:val="24"/>
          <w:szCs w:val="24"/>
        </w:rPr>
        <w:t xml:space="preserve">En este punto el </w:t>
      </w:r>
      <w:r w:rsidR="008D0D85" w:rsidRPr="004D7274">
        <w:rPr>
          <w:sz w:val="24"/>
          <w:szCs w:val="24"/>
        </w:rPr>
        <w:t>Ingeniero Héctor Antonio Toscano Barajas, en su carácter de Secretario Técnico del Comité de Compras</w:t>
      </w:r>
      <w:r w:rsidR="008D0D85">
        <w:rPr>
          <w:sz w:val="24"/>
          <w:szCs w:val="24"/>
        </w:rPr>
        <w:t xml:space="preserve"> pone a consideración de los integrantes del Comité </w:t>
      </w:r>
      <w:r w:rsidR="008D0D85" w:rsidRPr="002F5682">
        <w:rPr>
          <w:sz w:val="24"/>
          <w:szCs w:val="24"/>
        </w:rPr>
        <w:t xml:space="preserve">de </w:t>
      </w:r>
      <w:r w:rsidR="008D0D85">
        <w:rPr>
          <w:sz w:val="24"/>
          <w:szCs w:val="24"/>
        </w:rPr>
        <w:t xml:space="preserve">Compras, las cotizaciones presentadas por tres proveedores así mismo el cuadro comparativo para su análisis y aprobación. </w:t>
      </w:r>
    </w:p>
    <w:p w:rsidR="008379CF" w:rsidRDefault="008379CF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8379CF" w:rsidRDefault="008379CF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4"/>
        <w:gridCol w:w="1697"/>
        <w:gridCol w:w="1559"/>
        <w:gridCol w:w="1417"/>
        <w:gridCol w:w="1576"/>
      </w:tblGrid>
      <w:tr w:rsidR="006439C4" w:rsidRPr="006439C4" w:rsidTr="006439C4">
        <w:trPr>
          <w:trHeight w:val="375"/>
        </w:trPr>
        <w:tc>
          <w:tcPr>
            <w:tcW w:w="10076" w:type="dxa"/>
            <w:gridSpan w:val="6"/>
            <w:hideMark/>
          </w:tcPr>
          <w:p w:rsidR="006439C4" w:rsidRPr="006439C4" w:rsidRDefault="006439C4" w:rsidP="006439C4">
            <w:pPr>
              <w:jc w:val="both"/>
              <w:rPr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DEPARTAMENTO SOLICITANTE</w:t>
            </w:r>
            <w:r w:rsidRPr="006439C4">
              <w:rPr>
                <w:sz w:val="24"/>
                <w:szCs w:val="24"/>
              </w:rPr>
              <w:t>: DESPACHO DE OBRAS PUBLICAS Y DESARROLLO URBANO</w:t>
            </w:r>
          </w:p>
        </w:tc>
      </w:tr>
      <w:tr w:rsidR="006439C4" w:rsidRPr="006439C4" w:rsidTr="006439C4">
        <w:trPr>
          <w:trHeight w:val="390"/>
        </w:trPr>
        <w:tc>
          <w:tcPr>
            <w:tcW w:w="10076" w:type="dxa"/>
            <w:gridSpan w:val="6"/>
            <w:hideMark/>
          </w:tcPr>
          <w:p w:rsidR="006439C4" w:rsidRPr="006439C4" w:rsidRDefault="006439C4" w:rsidP="006439C4">
            <w:pPr>
              <w:jc w:val="both"/>
              <w:rPr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MATERIAL SOLICITADO</w:t>
            </w:r>
            <w:r>
              <w:rPr>
                <w:sz w:val="24"/>
                <w:szCs w:val="24"/>
              </w:rPr>
              <w:t xml:space="preserve">: 32,000 KILOS DE </w:t>
            </w:r>
            <w:r w:rsidRPr="006439C4">
              <w:rPr>
                <w:sz w:val="24"/>
                <w:szCs w:val="24"/>
              </w:rPr>
              <w:t xml:space="preserve"> EMULSUÓN ASFÁLTICA SUPERESTABLE AL 65%</w:t>
            </w:r>
          </w:p>
        </w:tc>
      </w:tr>
      <w:tr w:rsidR="006439C4" w:rsidRPr="006439C4" w:rsidTr="006439C4">
        <w:trPr>
          <w:trHeight w:val="390"/>
        </w:trPr>
        <w:tc>
          <w:tcPr>
            <w:tcW w:w="10076" w:type="dxa"/>
            <w:gridSpan w:val="6"/>
            <w:hideMark/>
          </w:tcPr>
          <w:p w:rsidR="006439C4" w:rsidRPr="006439C4" w:rsidRDefault="006439C4" w:rsidP="006439C4">
            <w:pPr>
              <w:jc w:val="both"/>
              <w:rPr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APLICACIÓN DE LA COMPRA</w:t>
            </w:r>
            <w:r w:rsidRPr="006439C4">
              <w:rPr>
                <w:sz w:val="24"/>
                <w:szCs w:val="24"/>
              </w:rPr>
              <w:t>:  BACHEO EN LA VIA PUBLICA</w:t>
            </w:r>
          </w:p>
        </w:tc>
      </w:tr>
      <w:tr w:rsidR="006439C4" w:rsidRPr="006439C4" w:rsidTr="008379CF">
        <w:trPr>
          <w:trHeight w:val="750"/>
        </w:trPr>
        <w:tc>
          <w:tcPr>
            <w:tcW w:w="2263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PROVEEDOR</w:t>
            </w:r>
          </w:p>
        </w:tc>
        <w:tc>
          <w:tcPr>
            <w:tcW w:w="1564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1697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COSTO UNITARIO</w:t>
            </w:r>
          </w:p>
        </w:tc>
        <w:tc>
          <w:tcPr>
            <w:tcW w:w="1559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COSTO TOTAL</w:t>
            </w:r>
          </w:p>
        </w:tc>
        <w:tc>
          <w:tcPr>
            <w:tcW w:w="1417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576" w:type="dxa"/>
            <w:vAlign w:val="center"/>
            <w:hideMark/>
          </w:tcPr>
          <w:p w:rsidR="006439C4" w:rsidRPr="006439C4" w:rsidRDefault="006439C4" w:rsidP="008379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9C4">
              <w:rPr>
                <w:b/>
                <w:bCs/>
                <w:sz w:val="24"/>
                <w:szCs w:val="24"/>
              </w:rPr>
              <w:t>NETO A PAGAR</w:t>
            </w:r>
          </w:p>
        </w:tc>
      </w:tr>
      <w:tr w:rsidR="006439C4" w:rsidRPr="006439C4" w:rsidTr="00CC1A8C">
        <w:trPr>
          <w:trHeight w:val="1500"/>
        </w:trPr>
        <w:tc>
          <w:tcPr>
            <w:tcW w:w="2263" w:type="dxa"/>
            <w:vAlign w:val="center"/>
            <w:hideMark/>
          </w:tcPr>
          <w:p w:rsidR="006439C4" w:rsidRPr="008379CF" w:rsidRDefault="006439C4" w:rsidP="008379CF">
            <w:pPr>
              <w:jc w:val="center"/>
              <w:rPr>
                <w:b/>
              </w:rPr>
            </w:pPr>
            <w:r w:rsidRPr="008379CF">
              <w:rPr>
                <w:b/>
              </w:rPr>
              <w:lastRenderedPageBreak/>
              <w:t>FRESLIM, S.A. DE C.V.  (Irapuato Gto.)</w:t>
            </w:r>
          </w:p>
        </w:tc>
        <w:tc>
          <w:tcPr>
            <w:tcW w:w="1564" w:type="dxa"/>
            <w:vAlign w:val="center"/>
            <w:hideMark/>
          </w:tcPr>
          <w:p w:rsidR="006439C4" w:rsidRPr="006439C4" w:rsidRDefault="006439C4" w:rsidP="008379CF">
            <w:pPr>
              <w:jc w:val="center"/>
            </w:pPr>
            <w:r w:rsidRPr="006439C4">
              <w:t>EMULSUÓN ASFÁLTICA SUPERESTABLE AL 65%</w:t>
            </w:r>
          </w:p>
        </w:tc>
        <w:tc>
          <w:tcPr>
            <w:tcW w:w="1697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  11,690.00</w:t>
            </w:r>
          </w:p>
        </w:tc>
        <w:tc>
          <w:tcPr>
            <w:tcW w:w="1559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374,080.00</w:t>
            </w:r>
          </w:p>
        </w:tc>
        <w:tc>
          <w:tcPr>
            <w:tcW w:w="1417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59,852.80</w:t>
            </w:r>
          </w:p>
        </w:tc>
        <w:tc>
          <w:tcPr>
            <w:tcW w:w="1576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$ 433,932.80</w:t>
            </w:r>
          </w:p>
        </w:tc>
      </w:tr>
      <w:tr w:rsidR="006439C4" w:rsidRPr="006439C4" w:rsidTr="00CC1A8C">
        <w:trPr>
          <w:trHeight w:val="1500"/>
        </w:trPr>
        <w:tc>
          <w:tcPr>
            <w:tcW w:w="2263" w:type="dxa"/>
            <w:vAlign w:val="center"/>
            <w:hideMark/>
          </w:tcPr>
          <w:p w:rsidR="006439C4" w:rsidRPr="008379CF" w:rsidRDefault="006439C4" w:rsidP="008379CF">
            <w:pPr>
              <w:jc w:val="center"/>
              <w:rPr>
                <w:b/>
              </w:rPr>
            </w:pPr>
            <w:r w:rsidRPr="008379CF">
              <w:rPr>
                <w:b/>
              </w:rPr>
              <w:t>EMULSA S.A. DE C.V. (Emulsiones Asfálticas) (Morelia Mich.)</w:t>
            </w:r>
          </w:p>
        </w:tc>
        <w:tc>
          <w:tcPr>
            <w:tcW w:w="1564" w:type="dxa"/>
            <w:vAlign w:val="center"/>
            <w:hideMark/>
          </w:tcPr>
          <w:p w:rsidR="006439C4" w:rsidRPr="006439C4" w:rsidRDefault="006439C4" w:rsidP="008379CF">
            <w:pPr>
              <w:jc w:val="center"/>
            </w:pPr>
            <w:r w:rsidRPr="006439C4">
              <w:t>EMULSUÓN ASFÁLTICA SUPERESTABLE AL 65%</w:t>
            </w:r>
          </w:p>
        </w:tc>
        <w:tc>
          <w:tcPr>
            <w:tcW w:w="1697" w:type="dxa"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  11,980.00</w:t>
            </w:r>
          </w:p>
        </w:tc>
        <w:tc>
          <w:tcPr>
            <w:tcW w:w="1559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383,360.00</w:t>
            </w:r>
          </w:p>
        </w:tc>
        <w:tc>
          <w:tcPr>
            <w:tcW w:w="1417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61,337.60</w:t>
            </w:r>
          </w:p>
        </w:tc>
        <w:tc>
          <w:tcPr>
            <w:tcW w:w="1576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$ 444,697.60</w:t>
            </w:r>
          </w:p>
        </w:tc>
      </w:tr>
      <w:tr w:rsidR="006439C4" w:rsidRPr="006439C4" w:rsidTr="00CC1A8C">
        <w:trPr>
          <w:trHeight w:val="1500"/>
        </w:trPr>
        <w:tc>
          <w:tcPr>
            <w:tcW w:w="2263" w:type="dxa"/>
            <w:vAlign w:val="center"/>
            <w:hideMark/>
          </w:tcPr>
          <w:p w:rsidR="006439C4" w:rsidRPr="008379CF" w:rsidRDefault="006439C4" w:rsidP="008379CF">
            <w:pPr>
              <w:jc w:val="center"/>
              <w:rPr>
                <w:b/>
              </w:rPr>
            </w:pPr>
            <w:r w:rsidRPr="008379CF">
              <w:rPr>
                <w:b/>
              </w:rPr>
              <w:t>TRITURADOS LA GLORIA                                     S.A. DE C.V.                                                         (San Fco. Del Rincón)</w:t>
            </w:r>
          </w:p>
        </w:tc>
        <w:tc>
          <w:tcPr>
            <w:tcW w:w="1564" w:type="dxa"/>
            <w:vAlign w:val="center"/>
            <w:hideMark/>
          </w:tcPr>
          <w:p w:rsidR="006439C4" w:rsidRPr="006439C4" w:rsidRDefault="006439C4" w:rsidP="008379CF">
            <w:pPr>
              <w:jc w:val="center"/>
            </w:pPr>
            <w:r w:rsidRPr="006439C4">
              <w:t>EMULSUÓN ASFÁLTICA SUPERESTABLE AL 65%</w:t>
            </w:r>
          </w:p>
        </w:tc>
        <w:tc>
          <w:tcPr>
            <w:tcW w:w="1697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  11,990.00</w:t>
            </w:r>
          </w:p>
        </w:tc>
        <w:tc>
          <w:tcPr>
            <w:tcW w:w="1559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 383,680.00</w:t>
            </w:r>
          </w:p>
        </w:tc>
        <w:tc>
          <w:tcPr>
            <w:tcW w:w="1417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 61,388.80</w:t>
            </w:r>
          </w:p>
        </w:tc>
        <w:tc>
          <w:tcPr>
            <w:tcW w:w="1576" w:type="dxa"/>
            <w:noWrap/>
            <w:vAlign w:val="center"/>
            <w:hideMark/>
          </w:tcPr>
          <w:p w:rsidR="006439C4" w:rsidRPr="006439C4" w:rsidRDefault="006439C4" w:rsidP="00CC1A8C">
            <w:pPr>
              <w:jc w:val="center"/>
            </w:pPr>
            <w:r w:rsidRPr="006439C4">
              <w:t>$ 445,068.80</w:t>
            </w:r>
          </w:p>
        </w:tc>
      </w:tr>
    </w:tbl>
    <w:p w:rsidR="00D34EC4" w:rsidRPr="00CC1A8C" w:rsidRDefault="00A73E91" w:rsidP="00981E0D">
      <w:pPr>
        <w:jc w:val="both"/>
        <w:rPr>
          <w:sz w:val="24"/>
          <w:szCs w:val="24"/>
        </w:rPr>
      </w:pPr>
      <w:r>
        <w:rPr>
          <w:sz w:val="24"/>
          <w:szCs w:val="24"/>
        </w:rPr>
        <w:t>Una vez</w:t>
      </w:r>
      <w:r w:rsidR="00854DB0">
        <w:rPr>
          <w:sz w:val="24"/>
          <w:szCs w:val="24"/>
        </w:rPr>
        <w:t xml:space="preserve"> analizado y </w:t>
      </w:r>
      <w:r>
        <w:rPr>
          <w:sz w:val="24"/>
          <w:szCs w:val="24"/>
        </w:rPr>
        <w:t xml:space="preserve"> discutido el punto por los integrantes del Comité de Compras</w:t>
      </w:r>
      <w:r w:rsidR="00CC1A8C">
        <w:rPr>
          <w:sz w:val="24"/>
          <w:szCs w:val="24"/>
        </w:rPr>
        <w:t>,</w:t>
      </w:r>
      <w:r>
        <w:rPr>
          <w:sz w:val="24"/>
          <w:szCs w:val="24"/>
        </w:rPr>
        <w:t xml:space="preserve">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>
        <w:rPr>
          <w:sz w:val="24"/>
          <w:szCs w:val="24"/>
        </w:rPr>
        <w:t xml:space="preserve"> somete a consideración la aprobación de la adquisición de </w:t>
      </w:r>
      <w:r w:rsidRPr="00AE0DC6">
        <w:rPr>
          <w:sz w:val="24"/>
          <w:szCs w:val="24"/>
        </w:rPr>
        <w:t>32,000 kilos de Emulsión Asfál</w:t>
      </w:r>
      <w:r w:rsidR="00CC1A8C">
        <w:rPr>
          <w:sz w:val="24"/>
          <w:szCs w:val="24"/>
        </w:rPr>
        <w:t>tica Súper Estable para bacheo, s</w:t>
      </w:r>
      <w:r w:rsidRPr="00AE0DC6">
        <w:rPr>
          <w:sz w:val="24"/>
          <w:szCs w:val="24"/>
        </w:rPr>
        <w:t>olicitada por</w:t>
      </w:r>
      <w:r w:rsidR="00CC1A8C">
        <w:rPr>
          <w:sz w:val="24"/>
          <w:szCs w:val="24"/>
        </w:rPr>
        <w:t xml:space="preserve"> la Dirección de Obras Públicas c</w:t>
      </w:r>
      <w:r>
        <w:rPr>
          <w:sz w:val="24"/>
          <w:szCs w:val="24"/>
        </w:rPr>
        <w:t xml:space="preserve">on el proveedor de persona jurídica </w:t>
      </w:r>
      <w:r w:rsidRPr="00513319">
        <w:rPr>
          <w:b/>
          <w:sz w:val="24"/>
          <w:szCs w:val="24"/>
        </w:rPr>
        <w:t>FRESLIM, S.A</w:t>
      </w:r>
      <w:r w:rsidR="00CC1A8C">
        <w:rPr>
          <w:b/>
          <w:sz w:val="24"/>
          <w:szCs w:val="24"/>
        </w:rPr>
        <w:t>. DE C.V. CON UN COSTO DE</w:t>
      </w:r>
      <w:r w:rsidR="006439C4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</w:t>
      </w:r>
      <w:r w:rsidR="006439C4" w:rsidRPr="006439C4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$ 433,932.80 </w:t>
      </w:r>
      <w:r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(</w:t>
      </w:r>
      <w:r w:rsidR="006439C4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Cuatrocientos treinta y tres mil novecientos treinta y dos pesos 80/100 M.N.)</w:t>
      </w:r>
      <w:r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.)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precio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con IVA incluido</w:t>
      </w:r>
      <w:r w:rsidR="00CC1A8C">
        <w:rPr>
          <w:rFonts w:cs="Calibri"/>
          <w:color w:val="000000"/>
          <w:sz w:val="24"/>
          <w:szCs w:val="24"/>
          <w:lang w:eastAsia="es-MX"/>
        </w:rPr>
        <w:t>, mismos que serán</w:t>
      </w:r>
      <w:r>
        <w:rPr>
          <w:rFonts w:cs="Calibri"/>
          <w:color w:val="000000"/>
          <w:sz w:val="24"/>
          <w:szCs w:val="24"/>
          <w:lang w:eastAsia="es-MX"/>
        </w:rPr>
        <w:t xml:space="preserve"> devengados de la partida presupuestal </w:t>
      </w:r>
      <w:r w:rsidR="00CC1A8C">
        <w:rPr>
          <w:rFonts w:cs="Calibri"/>
          <w:color w:val="000000"/>
          <w:sz w:val="24"/>
          <w:szCs w:val="24"/>
          <w:lang w:eastAsia="es-MX"/>
        </w:rPr>
        <w:t>“</w:t>
      </w:r>
      <w:r>
        <w:rPr>
          <w:rFonts w:cs="Calibri"/>
          <w:color w:val="000000"/>
          <w:sz w:val="24"/>
          <w:szCs w:val="24"/>
          <w:lang w:eastAsia="es-MX"/>
        </w:rPr>
        <w:t>2.4.9. Otros Materiales y Artículos de Construcción y Reparación</w:t>
      </w:r>
      <w:r w:rsidR="00CC1A8C">
        <w:rPr>
          <w:rFonts w:cs="Calibri"/>
          <w:color w:val="000000"/>
          <w:sz w:val="24"/>
          <w:szCs w:val="24"/>
          <w:lang w:eastAsia="es-MX"/>
        </w:rPr>
        <w:t>”</w:t>
      </w:r>
      <w:r>
        <w:rPr>
          <w:rFonts w:cs="Calibri"/>
          <w:color w:val="000000"/>
          <w:sz w:val="24"/>
          <w:szCs w:val="24"/>
          <w:lang w:eastAsia="es-MX"/>
        </w:rPr>
        <w:t xml:space="preserve">; </w:t>
      </w:r>
      <w:r w:rsidR="00CC1A8C">
        <w:rPr>
          <w:sz w:val="24"/>
          <w:szCs w:val="24"/>
        </w:rPr>
        <w:t>e</w:t>
      </w:r>
      <w:r>
        <w:rPr>
          <w:sz w:val="24"/>
          <w:szCs w:val="24"/>
        </w:rPr>
        <w:t xml:space="preserve">ste proveedor oferta </w:t>
      </w:r>
      <w:r w:rsidRPr="004C319F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as mejores condiciones y cumple</w:t>
      </w:r>
      <w:r w:rsidRPr="004C319F">
        <w:rPr>
          <w:rFonts w:cs="Calibri"/>
          <w:sz w:val="24"/>
          <w:szCs w:val="24"/>
        </w:rPr>
        <w:t xml:space="preserve"> satisfactoriament</w:t>
      </w:r>
      <w:r>
        <w:rPr>
          <w:rFonts w:cs="Calibri"/>
          <w:sz w:val="24"/>
          <w:szCs w:val="24"/>
        </w:rPr>
        <w:t>e con los estándares de calidad</w:t>
      </w:r>
      <w:r w:rsidRPr="004C319F">
        <w:rPr>
          <w:rFonts w:cs="Calibri"/>
          <w:sz w:val="24"/>
          <w:szCs w:val="24"/>
        </w:rPr>
        <w:t xml:space="preserve"> pa</w:t>
      </w:r>
      <w:r>
        <w:rPr>
          <w:rFonts w:cs="Calibri"/>
          <w:sz w:val="24"/>
          <w:szCs w:val="24"/>
        </w:rPr>
        <w:t>ra la adquisición a contratar;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una 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>l</w:t>
      </w:r>
      <w:r w:rsidR="00CC1A8C">
        <w:rPr>
          <w:rFonts w:cs="Calibri"/>
          <w:sz w:val="24"/>
          <w:szCs w:val="24"/>
        </w:rPr>
        <w:t>as necesidades para</w:t>
      </w:r>
      <w:r>
        <w:rPr>
          <w:rFonts w:cs="Calibri"/>
          <w:sz w:val="24"/>
          <w:szCs w:val="24"/>
        </w:rPr>
        <w:t xml:space="preserve">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adquisición solicitada </w:t>
      </w:r>
      <w:r w:rsidR="00CC1A8C">
        <w:rPr>
          <w:rFonts w:cs="Calibri"/>
          <w:sz w:val="24"/>
          <w:szCs w:val="24"/>
        </w:rPr>
        <w:t xml:space="preserve">por la </w:t>
      </w:r>
      <w:r>
        <w:rPr>
          <w:rFonts w:cs="Calibri"/>
          <w:sz w:val="24"/>
          <w:szCs w:val="24"/>
        </w:rPr>
        <w:t>Dirección de Obra</w:t>
      </w:r>
      <w:r w:rsidR="00CC1A8C">
        <w:rPr>
          <w:rFonts w:cs="Calibri"/>
          <w:sz w:val="24"/>
          <w:szCs w:val="24"/>
        </w:rPr>
        <w:t>s Públicas. El pago se realizará</w:t>
      </w:r>
      <w:r>
        <w:rPr>
          <w:rFonts w:cs="Calibri"/>
          <w:sz w:val="24"/>
          <w:szCs w:val="24"/>
        </w:rPr>
        <w:t xml:space="preserve"> en una sola exhibición después de la entrega del producto a entera satisfacción del personal respons</w:t>
      </w:r>
      <w:r w:rsidR="00CC1A8C">
        <w:rPr>
          <w:rFonts w:cs="Calibri"/>
          <w:sz w:val="24"/>
          <w:szCs w:val="24"/>
        </w:rPr>
        <w:t>able que el director de Obras Pú</w:t>
      </w:r>
      <w:r>
        <w:rPr>
          <w:rFonts w:cs="Calibri"/>
          <w:sz w:val="24"/>
          <w:szCs w:val="24"/>
        </w:rPr>
        <w:t xml:space="preserve">blicas asigne para la recepción de los materiales y una vez sea notificado a la Proveeduría Municipal que los materiales se recibieron con los estándares de calidad requeridos. </w:t>
      </w:r>
      <w:r>
        <w:rPr>
          <w:sz w:val="24"/>
          <w:szCs w:val="24"/>
        </w:rPr>
        <w:t xml:space="preserve">Quien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INTEGRANTES DEL COMITÉ DE COMPRAS  PRESENTES;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</w:t>
      </w:r>
      <w:r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</w:t>
      </w:r>
      <w:r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</w:t>
      </w:r>
      <w:r w:rsidR="00CC1A8C">
        <w:rPr>
          <w:sz w:val="24"/>
          <w:szCs w:val="24"/>
        </w:rPr>
        <w:t xml:space="preserve">l siguiente punto. </w:t>
      </w:r>
    </w:p>
    <w:p w:rsidR="00761884" w:rsidRPr="002C596F" w:rsidRDefault="001658AD" w:rsidP="009B50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QUINTO</w:t>
      </w:r>
      <w:r w:rsidR="00443FD9" w:rsidRPr="00336889">
        <w:rPr>
          <w:b/>
          <w:sz w:val="24"/>
          <w:szCs w:val="24"/>
          <w:u w:val="single"/>
        </w:rPr>
        <w:t xml:space="preserve"> PUNTO:</w:t>
      </w:r>
      <w:r w:rsidR="00443FD9">
        <w:rPr>
          <w:b/>
          <w:sz w:val="24"/>
          <w:szCs w:val="24"/>
          <w:u w:val="single"/>
        </w:rPr>
        <w:t xml:space="preserve"> </w:t>
      </w:r>
      <w:r w:rsidR="009B503F" w:rsidRPr="00336889">
        <w:rPr>
          <w:sz w:val="24"/>
          <w:szCs w:val="24"/>
        </w:rPr>
        <w:t>Clausura</w:t>
      </w:r>
      <w:r w:rsidR="009B503F" w:rsidRPr="004D7274">
        <w:rPr>
          <w:sz w:val="24"/>
          <w:szCs w:val="24"/>
        </w:rPr>
        <w:t xml:space="preserve"> por parte del </w:t>
      </w:r>
      <w:r w:rsidR="0009469E">
        <w:rPr>
          <w:sz w:val="24"/>
          <w:szCs w:val="24"/>
        </w:rPr>
        <w:t xml:space="preserve">representante </w:t>
      </w:r>
      <w:r w:rsidR="00F64ED8">
        <w:rPr>
          <w:sz w:val="24"/>
          <w:szCs w:val="24"/>
        </w:rPr>
        <w:t xml:space="preserve">del </w:t>
      </w:r>
      <w:r w:rsidR="0009469E">
        <w:rPr>
          <w:sz w:val="24"/>
          <w:szCs w:val="24"/>
        </w:rPr>
        <w:t>Presidente</w:t>
      </w:r>
      <w:r w:rsidR="009B503F" w:rsidRPr="004D7274">
        <w:rPr>
          <w:sz w:val="24"/>
          <w:szCs w:val="24"/>
        </w:rPr>
        <w:t xml:space="preserve"> del Comité de Compras. </w:t>
      </w:r>
      <w:r w:rsidR="0009469E">
        <w:rPr>
          <w:sz w:val="24"/>
          <w:szCs w:val="24"/>
        </w:rPr>
        <w:t xml:space="preserve">Regidor </w:t>
      </w:r>
      <w:r w:rsidR="00CC1A8C">
        <w:rPr>
          <w:sz w:val="24"/>
          <w:szCs w:val="24"/>
        </w:rPr>
        <w:t>Juan José Chávez Flores;</w:t>
      </w:r>
      <w:r w:rsidR="00F774D8" w:rsidRPr="004D7274">
        <w:rPr>
          <w:sz w:val="24"/>
          <w:szCs w:val="24"/>
        </w:rPr>
        <w:t xml:space="preserve"> Siendo</w:t>
      </w:r>
      <w:r w:rsidR="009B503F" w:rsidRPr="004D7274">
        <w:rPr>
          <w:sz w:val="24"/>
          <w:szCs w:val="24"/>
        </w:rPr>
        <w:t xml:space="preserve"> la </w:t>
      </w:r>
      <w:r w:rsidR="00C64CF3">
        <w:rPr>
          <w:sz w:val="24"/>
          <w:szCs w:val="24"/>
        </w:rPr>
        <w:t>11:</w:t>
      </w:r>
      <w:r>
        <w:rPr>
          <w:sz w:val="24"/>
          <w:szCs w:val="24"/>
        </w:rPr>
        <w:t>50</w:t>
      </w:r>
      <w:r w:rsidR="00761884">
        <w:rPr>
          <w:sz w:val="24"/>
          <w:szCs w:val="24"/>
        </w:rPr>
        <w:t xml:space="preserve"> (</w:t>
      </w:r>
      <w:r w:rsidR="00C64CF3">
        <w:rPr>
          <w:sz w:val="24"/>
          <w:szCs w:val="24"/>
        </w:rPr>
        <w:t xml:space="preserve">once horas con </w:t>
      </w:r>
      <w:r>
        <w:rPr>
          <w:sz w:val="24"/>
          <w:szCs w:val="24"/>
        </w:rPr>
        <w:t>cincuenta</w:t>
      </w:r>
      <w:r w:rsidR="00C64CF3">
        <w:rPr>
          <w:sz w:val="24"/>
          <w:szCs w:val="24"/>
        </w:rPr>
        <w:t xml:space="preserve"> minutos</w:t>
      </w:r>
      <w:r w:rsidR="00CC1A8C">
        <w:rPr>
          <w:sz w:val="24"/>
          <w:szCs w:val="24"/>
        </w:rPr>
        <w:t>)</w:t>
      </w:r>
      <w:r w:rsidR="009B503F" w:rsidRPr="004D7274">
        <w:rPr>
          <w:sz w:val="24"/>
          <w:szCs w:val="24"/>
        </w:rPr>
        <w:t xml:space="preserve"> del día </w:t>
      </w:r>
      <w:r>
        <w:rPr>
          <w:sz w:val="24"/>
          <w:szCs w:val="24"/>
        </w:rPr>
        <w:t>20 (veinte) de marzo</w:t>
      </w:r>
      <w:r w:rsidR="00CD146B">
        <w:rPr>
          <w:sz w:val="24"/>
          <w:szCs w:val="24"/>
        </w:rPr>
        <w:t xml:space="preserve"> de 2019 (</w:t>
      </w:r>
      <w:r w:rsidR="009D6FC5">
        <w:rPr>
          <w:sz w:val="24"/>
          <w:szCs w:val="24"/>
        </w:rPr>
        <w:t>dos mil diecinueve)</w:t>
      </w:r>
      <w:r w:rsidR="00CD146B">
        <w:rPr>
          <w:sz w:val="24"/>
          <w:szCs w:val="24"/>
        </w:rPr>
        <w:t>,</w:t>
      </w:r>
      <w:r w:rsidR="009B503F" w:rsidRPr="004D7274">
        <w:rPr>
          <w:sz w:val="24"/>
          <w:szCs w:val="24"/>
        </w:rPr>
        <w:t xml:space="preserve"> </w:t>
      </w:r>
      <w:r w:rsidR="00CD146B">
        <w:rPr>
          <w:sz w:val="24"/>
          <w:szCs w:val="24"/>
        </w:rPr>
        <w:t>agradece</w:t>
      </w:r>
      <w:r w:rsidR="001461B6" w:rsidRPr="004D7274">
        <w:rPr>
          <w:sz w:val="24"/>
          <w:szCs w:val="24"/>
        </w:rPr>
        <w:t xml:space="preserve"> </w:t>
      </w:r>
      <w:r w:rsidR="00761884">
        <w:rPr>
          <w:sz w:val="24"/>
          <w:szCs w:val="24"/>
        </w:rPr>
        <w:t xml:space="preserve">la </w:t>
      </w:r>
      <w:r w:rsidR="001461B6" w:rsidRPr="004D7274">
        <w:rPr>
          <w:sz w:val="24"/>
          <w:szCs w:val="24"/>
        </w:rPr>
        <w:t>participación</w:t>
      </w:r>
      <w:r w:rsidR="00761884">
        <w:rPr>
          <w:sz w:val="24"/>
          <w:szCs w:val="24"/>
        </w:rPr>
        <w:t xml:space="preserve"> de los integrantes del comité</w:t>
      </w:r>
      <w:r w:rsidR="00CD146B">
        <w:rPr>
          <w:sz w:val="24"/>
          <w:szCs w:val="24"/>
        </w:rPr>
        <w:t>;</w:t>
      </w:r>
      <w:r w:rsidR="009B503F" w:rsidRPr="004D7274">
        <w:rPr>
          <w:sz w:val="24"/>
          <w:szCs w:val="24"/>
        </w:rPr>
        <w:t xml:space="preserve"> declara formalmente clausurados los trabajos de </w:t>
      </w:r>
      <w:r w:rsidR="009D6FC5">
        <w:rPr>
          <w:sz w:val="24"/>
          <w:szCs w:val="24"/>
        </w:rPr>
        <w:t>cuarta</w:t>
      </w:r>
      <w:r w:rsidR="00F20F80">
        <w:rPr>
          <w:sz w:val="24"/>
          <w:szCs w:val="24"/>
        </w:rPr>
        <w:t xml:space="preserve"> </w:t>
      </w:r>
      <w:r w:rsidR="00F64ED8">
        <w:rPr>
          <w:sz w:val="24"/>
          <w:szCs w:val="24"/>
        </w:rPr>
        <w:t>Sesión O</w:t>
      </w:r>
      <w:r w:rsidR="00761884">
        <w:rPr>
          <w:sz w:val="24"/>
          <w:szCs w:val="24"/>
        </w:rPr>
        <w:t>rdinaria</w:t>
      </w:r>
      <w:r w:rsidR="009B503F" w:rsidRPr="004D7274">
        <w:rPr>
          <w:sz w:val="24"/>
          <w:szCs w:val="24"/>
        </w:rPr>
        <w:t xml:space="preserve"> </w:t>
      </w:r>
      <w:r w:rsidR="001461B6" w:rsidRPr="004D7274">
        <w:rPr>
          <w:sz w:val="24"/>
          <w:szCs w:val="24"/>
        </w:rPr>
        <w:t xml:space="preserve">del </w:t>
      </w:r>
      <w:r w:rsidR="00761884" w:rsidRPr="00761884">
        <w:rPr>
          <w:sz w:val="24"/>
          <w:szCs w:val="24"/>
        </w:rPr>
        <w:t xml:space="preserve">Comité </w:t>
      </w:r>
      <w:r w:rsidR="00761884" w:rsidRPr="00761884">
        <w:rPr>
          <w:rFonts w:cstheme="minorHAnsi"/>
          <w:sz w:val="24"/>
          <w:szCs w:val="24"/>
        </w:rPr>
        <w:t xml:space="preserve">Compras </w:t>
      </w:r>
      <w:r w:rsidR="00761884" w:rsidRPr="00761884">
        <w:rPr>
          <w:rFonts w:cstheme="minorHAnsi"/>
          <w:sz w:val="24"/>
          <w:szCs w:val="24"/>
        </w:rPr>
        <w:lastRenderedPageBreak/>
        <w:t>Gubernamentales, Contratación de Servicios, A</w:t>
      </w:r>
      <w:r w:rsidR="00CD146B">
        <w:rPr>
          <w:rFonts w:cstheme="minorHAnsi"/>
          <w:sz w:val="24"/>
          <w:szCs w:val="24"/>
        </w:rPr>
        <w:t>rrendamientos y Enajenaciones, p</w:t>
      </w:r>
      <w:r w:rsidR="00761884" w:rsidRPr="00761884">
        <w:rPr>
          <w:rFonts w:cstheme="minorHAnsi"/>
          <w:sz w:val="24"/>
          <w:szCs w:val="24"/>
        </w:rPr>
        <w:t xml:space="preserve">ara el Municipio de Zapotlán el Grande. </w:t>
      </w:r>
    </w:p>
    <w:p w:rsidR="0046704E" w:rsidRDefault="00761884" w:rsidP="001658AD">
      <w:pPr>
        <w:pStyle w:val="ListParagraph1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321F6B">
        <w:rPr>
          <w:rFonts w:cs="Calibri"/>
          <w:sz w:val="24"/>
          <w:szCs w:val="24"/>
        </w:rPr>
        <w:t>Firmando la presente acta los miembros de la Comisión que se encuentran presentes quienes intervinieron y quisieron hacerlo para dar validez de los acuerdos tomados.</w:t>
      </w:r>
    </w:p>
    <w:p w:rsidR="001658AD" w:rsidRDefault="001658AD" w:rsidP="001658AD">
      <w:pPr>
        <w:pStyle w:val="ListParagraph1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1658AD" w:rsidRPr="001658AD" w:rsidRDefault="001658AD" w:rsidP="001658AD">
      <w:pPr>
        <w:pStyle w:val="ListParagraph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D34EC4" w:rsidRPr="007D316E" w:rsidRDefault="00D34EC4" w:rsidP="00D34EC4">
      <w:pPr>
        <w:pStyle w:val="Sinespaciado"/>
        <w:jc w:val="center"/>
        <w:rPr>
          <w:rFonts w:cstheme="minorHAnsi"/>
          <w:sz w:val="24"/>
          <w:szCs w:val="24"/>
        </w:rPr>
      </w:pPr>
      <w:r w:rsidRPr="007D316E">
        <w:rPr>
          <w:rFonts w:cstheme="minorHAnsi"/>
          <w:sz w:val="24"/>
          <w:szCs w:val="24"/>
        </w:rPr>
        <w:t>“A T E N T A M E N T E</w:t>
      </w:r>
    </w:p>
    <w:p w:rsidR="00D34EC4" w:rsidRPr="007D316E" w:rsidRDefault="00D34EC4" w:rsidP="00D34EC4">
      <w:pPr>
        <w:pStyle w:val="Sinespaciado"/>
        <w:jc w:val="center"/>
        <w:rPr>
          <w:rFonts w:cstheme="minorHAnsi"/>
          <w:sz w:val="24"/>
          <w:szCs w:val="24"/>
        </w:rPr>
      </w:pPr>
      <w:r w:rsidRPr="007D316E">
        <w:rPr>
          <w:rFonts w:cstheme="minorHAnsi"/>
          <w:sz w:val="24"/>
          <w:szCs w:val="24"/>
        </w:rPr>
        <w:t xml:space="preserve">“2019, Año del LXXX Aniversario de la Escuela Lic. Benito Juárez” </w:t>
      </w:r>
    </w:p>
    <w:p w:rsidR="00D34EC4" w:rsidRPr="007D316E" w:rsidRDefault="00D34EC4" w:rsidP="00D34EC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7D316E">
        <w:rPr>
          <w:rFonts w:cstheme="minorHAnsi"/>
          <w:sz w:val="24"/>
          <w:szCs w:val="24"/>
        </w:rPr>
        <w:t>Ciudad Guzmán, Municipio de Zapotlán el Grande, Jal; a 20 de marzo   de 2019</w:t>
      </w:r>
    </w:p>
    <w:p w:rsidR="00F71AB2" w:rsidRPr="004D7274" w:rsidRDefault="00F71AB2" w:rsidP="00F71AB2">
      <w:pPr>
        <w:jc w:val="center"/>
        <w:rPr>
          <w:b/>
        </w:rPr>
      </w:pPr>
    </w:p>
    <w:p w:rsidR="001658AD" w:rsidRDefault="001658AD" w:rsidP="00165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CONSTE</w:t>
      </w:r>
    </w:p>
    <w:tbl>
      <w:tblPr>
        <w:tblStyle w:val="Tablaconcuadrcula2"/>
        <w:tblW w:w="9918" w:type="dxa"/>
        <w:tblLayout w:type="fixed"/>
        <w:tblLook w:val="04A0" w:firstRow="1" w:lastRow="0" w:firstColumn="1" w:lastColumn="0" w:noHBand="0" w:noVBand="1"/>
      </w:tblPr>
      <w:tblGrid>
        <w:gridCol w:w="6091"/>
        <w:gridCol w:w="3827"/>
      </w:tblGrid>
      <w:tr w:rsidR="001658AD" w:rsidRPr="001658AD" w:rsidTr="001658AD">
        <w:tc>
          <w:tcPr>
            <w:tcW w:w="6091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FIRMA </w:t>
            </w:r>
          </w:p>
        </w:tc>
      </w:tr>
      <w:tr w:rsidR="001658AD" w:rsidRPr="001658AD" w:rsidTr="001658AD">
        <w:tc>
          <w:tcPr>
            <w:tcW w:w="6091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>C. J. Jesús Guerrero Zúñiga</w:t>
            </w:r>
          </w:p>
          <w:p w:rsidR="001658AD" w:rsidRPr="001658AD" w:rsidRDefault="00CC1A8C" w:rsidP="00CC1A8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1658AD" w:rsidRPr="001658AD">
              <w:rPr>
                <w:rFonts w:ascii="Calibri" w:hAnsi="Calibri" w:cs="Calibri"/>
                <w:sz w:val="24"/>
                <w:szCs w:val="24"/>
              </w:rPr>
              <w:t>residente  del Comité de Compras</w:t>
            </w:r>
            <w:r w:rsidR="001658AD"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1658AD" w:rsidRPr="001658AD">
              <w:rPr>
                <w:rFonts w:ascii="Calibri" w:hAnsi="Calibri" w:cs="Calibri"/>
                <w:sz w:val="24"/>
                <w:szCs w:val="24"/>
              </w:rPr>
              <w:t xml:space="preserve">Gubernamentales, Contratación de Servicios, Arrendamientos y Enajenaciones, para el Municipio de Zapotlán el </w:t>
            </w:r>
            <w:r w:rsidR="001658AD" w:rsidRPr="001658AD">
              <w:rPr>
                <w:rFonts w:ascii="Calibri" w:hAnsi="Calibri" w:cs="Calibri"/>
                <w:b/>
                <w:sz w:val="24"/>
                <w:szCs w:val="24"/>
              </w:rPr>
              <w:t>Grande en su representación el Regidor Juan José Chávez Flores</w:t>
            </w:r>
            <w:r w:rsidR="001658AD" w:rsidRPr="001658A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8AD" w:rsidRPr="001658AD" w:rsidTr="001658AD">
        <w:tc>
          <w:tcPr>
            <w:tcW w:w="6091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C. Oscar Manuel Quintero Magaña </w:t>
            </w:r>
          </w:p>
          <w:p w:rsidR="001658AD" w:rsidRPr="001658AD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 w:cs="Calibri"/>
                <w:sz w:val="24"/>
                <w:szCs w:val="24"/>
              </w:rPr>
              <w:t xml:space="preserve">Presidente  de la Cámara de Comercio, Servicios y Turismo de Ciudad Guzmán, Jal.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8AD" w:rsidRPr="001658AD" w:rsidTr="001658AD">
        <w:tc>
          <w:tcPr>
            <w:tcW w:w="6091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Ing. Jonathan Flores Moreno </w:t>
            </w:r>
          </w:p>
          <w:p w:rsidR="001658AD" w:rsidRPr="001658AD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 w:cs="Calibri"/>
                <w:sz w:val="24"/>
                <w:szCs w:val="24"/>
              </w:rPr>
              <w:t xml:space="preserve">Presidente del Colegio de Ingenieros Civiles del Sur del Estado de Jalisco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8AD" w:rsidRPr="001658AD" w:rsidTr="001658AD">
        <w:trPr>
          <w:trHeight w:val="597"/>
        </w:trPr>
        <w:tc>
          <w:tcPr>
            <w:tcW w:w="6091" w:type="dxa"/>
          </w:tcPr>
          <w:p w:rsidR="00CC1A8C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 w:cs="Calibri"/>
                <w:b/>
                <w:sz w:val="24"/>
                <w:szCs w:val="24"/>
              </w:rPr>
              <w:t>Arq. Francisco Javier Magaña Romero</w:t>
            </w:r>
            <w:r w:rsidRPr="001658A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1658AD" w:rsidRPr="001658AD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 w:cs="Calibri"/>
                <w:sz w:val="24"/>
                <w:szCs w:val="24"/>
              </w:rPr>
              <w:t>Representa</w:t>
            </w:r>
            <w:r w:rsidR="00CC1A8C">
              <w:rPr>
                <w:rFonts w:ascii="Calibri" w:hAnsi="Calibri" w:cs="Calibri"/>
                <w:sz w:val="24"/>
                <w:szCs w:val="24"/>
              </w:rPr>
              <w:t xml:space="preserve">nte del Colegio de Arquitectos </w:t>
            </w:r>
            <w:r w:rsidRPr="001658AD">
              <w:rPr>
                <w:rFonts w:ascii="Calibri" w:hAnsi="Calibri" w:cs="Calibri"/>
                <w:sz w:val="24"/>
                <w:szCs w:val="24"/>
              </w:rPr>
              <w:t xml:space="preserve"> del Sur del Estado de Jalisco. 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8AD" w:rsidRPr="001658AD" w:rsidTr="001658AD">
        <w:tc>
          <w:tcPr>
            <w:tcW w:w="6091" w:type="dxa"/>
          </w:tcPr>
          <w:p w:rsidR="00CC1A8C" w:rsidRDefault="001658AD" w:rsidP="001658AD">
            <w:pPr>
              <w:rPr>
                <w:rFonts w:ascii="Calibri" w:hAnsi="Calibri"/>
                <w:sz w:val="24"/>
                <w:szCs w:val="24"/>
              </w:rPr>
            </w:pPr>
            <w:r w:rsidRPr="001658AD">
              <w:rPr>
                <w:rFonts w:ascii="Calibri" w:hAnsi="Calibri"/>
                <w:b/>
                <w:sz w:val="24"/>
                <w:szCs w:val="24"/>
              </w:rPr>
              <w:t>C. Laura Cecilia Contreras Vázquez</w:t>
            </w:r>
            <w:r w:rsidRPr="001658AD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1658AD" w:rsidRPr="001658AD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/>
                <w:sz w:val="24"/>
                <w:szCs w:val="24"/>
              </w:rPr>
              <w:t>Representante del consejo de Participación Ciudadana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8AD" w:rsidRPr="001658AD" w:rsidTr="001658AD">
        <w:tc>
          <w:tcPr>
            <w:tcW w:w="6091" w:type="dxa"/>
          </w:tcPr>
          <w:p w:rsidR="001658AD" w:rsidRPr="001658AD" w:rsidRDefault="00CC1A8C" w:rsidP="001658A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Lic. Héctor Manuel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Roló</w:t>
            </w:r>
            <w:r w:rsidR="001658AD" w:rsidRPr="001658AD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proofErr w:type="spellEnd"/>
            <w:r w:rsidR="001658AD" w:rsidRPr="001658AD">
              <w:rPr>
                <w:rFonts w:ascii="Calibri" w:hAnsi="Calibri" w:cs="Calibri"/>
                <w:b/>
                <w:sz w:val="24"/>
                <w:szCs w:val="24"/>
              </w:rPr>
              <w:t xml:space="preserve"> Murillo</w:t>
            </w:r>
          </w:p>
          <w:p w:rsidR="001658AD" w:rsidRPr="001658AD" w:rsidRDefault="001658AD" w:rsidP="001658AD">
            <w:pPr>
              <w:rPr>
                <w:rFonts w:ascii="Calibri" w:hAnsi="Calibri" w:cs="Calibri"/>
                <w:sz w:val="24"/>
                <w:szCs w:val="24"/>
              </w:rPr>
            </w:pPr>
            <w:r w:rsidRPr="001658AD">
              <w:rPr>
                <w:rFonts w:ascii="Calibri" w:hAnsi="Calibri" w:cs="Calibri"/>
                <w:sz w:val="24"/>
                <w:szCs w:val="24"/>
              </w:rPr>
              <w:t xml:space="preserve">Contralor Municipal </w:t>
            </w:r>
          </w:p>
        </w:tc>
        <w:tc>
          <w:tcPr>
            <w:tcW w:w="3827" w:type="dxa"/>
          </w:tcPr>
          <w:p w:rsidR="001658AD" w:rsidRPr="001658AD" w:rsidRDefault="001658AD" w:rsidP="001658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637E2" w:rsidRDefault="00B637E2" w:rsidP="00D9693D">
      <w:pPr>
        <w:rPr>
          <w:b/>
          <w:sz w:val="24"/>
          <w:szCs w:val="24"/>
        </w:rPr>
      </w:pPr>
    </w:p>
    <w:p w:rsidR="00CC1A8C" w:rsidRPr="0091605C" w:rsidRDefault="00CC1A8C" w:rsidP="00D9693D">
      <w:pPr>
        <w:rPr>
          <w:b/>
          <w:sz w:val="24"/>
          <w:szCs w:val="24"/>
        </w:rPr>
      </w:pPr>
    </w:p>
    <w:p w:rsidR="00CC1A8C" w:rsidRDefault="0091605C" w:rsidP="0091605C">
      <w:pPr>
        <w:spacing w:after="0" w:line="240" w:lineRule="auto"/>
        <w:jc w:val="center"/>
        <w:rPr>
          <w:b/>
          <w:sz w:val="24"/>
          <w:szCs w:val="24"/>
        </w:rPr>
      </w:pPr>
      <w:r w:rsidRPr="0091605C">
        <w:rPr>
          <w:b/>
          <w:sz w:val="24"/>
          <w:szCs w:val="24"/>
        </w:rPr>
        <w:t>ING. Héctor Antonio Toscano Barajas</w:t>
      </w:r>
      <w:r>
        <w:rPr>
          <w:b/>
          <w:sz w:val="24"/>
          <w:szCs w:val="24"/>
        </w:rPr>
        <w:t xml:space="preserve"> </w:t>
      </w:r>
    </w:p>
    <w:p w:rsidR="0091605C" w:rsidRPr="0091605C" w:rsidRDefault="0091605C" w:rsidP="009160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Coordinador de Proveeduría y </w:t>
      </w:r>
    </w:p>
    <w:p w:rsidR="0091605C" w:rsidRPr="0091605C" w:rsidRDefault="0091605C" w:rsidP="0091605C">
      <w:pPr>
        <w:spacing w:after="0" w:line="240" w:lineRule="auto"/>
        <w:jc w:val="center"/>
        <w:rPr>
          <w:b/>
          <w:sz w:val="24"/>
          <w:szCs w:val="24"/>
        </w:rPr>
      </w:pPr>
      <w:r w:rsidRPr="0091605C">
        <w:rPr>
          <w:b/>
          <w:sz w:val="24"/>
          <w:szCs w:val="24"/>
        </w:rPr>
        <w:t>Secretario Técnico del Comité de Compras</w:t>
      </w:r>
    </w:p>
    <w:p w:rsidR="007524E5" w:rsidRDefault="007524E5" w:rsidP="00D9693D">
      <w:pPr>
        <w:rPr>
          <w:b/>
          <w:sz w:val="24"/>
          <w:szCs w:val="24"/>
        </w:rPr>
      </w:pPr>
    </w:p>
    <w:p w:rsidR="00B637E2" w:rsidRPr="0091605C" w:rsidRDefault="00B637E2" w:rsidP="00D9693D">
      <w:pPr>
        <w:rPr>
          <w:b/>
          <w:sz w:val="24"/>
          <w:szCs w:val="24"/>
        </w:rPr>
      </w:pPr>
    </w:p>
    <w:p w:rsidR="009E3C07" w:rsidRPr="00CC1A8C" w:rsidRDefault="009E3C07" w:rsidP="00025B4C">
      <w:pPr>
        <w:jc w:val="center"/>
        <w:rPr>
          <w:rFonts w:cstheme="minorHAnsi"/>
          <w:b/>
          <w:i/>
          <w:sz w:val="18"/>
          <w:szCs w:val="18"/>
        </w:rPr>
      </w:pPr>
      <w:r w:rsidRPr="00CC1A8C">
        <w:rPr>
          <w:b/>
          <w:i/>
          <w:sz w:val="18"/>
          <w:szCs w:val="18"/>
        </w:rPr>
        <w:t xml:space="preserve">La presente hoja de firmas forma parte integral  del acta de </w:t>
      </w:r>
      <w:r w:rsidR="007524E5" w:rsidRPr="00CC1A8C">
        <w:rPr>
          <w:b/>
          <w:i/>
          <w:sz w:val="18"/>
          <w:szCs w:val="18"/>
        </w:rPr>
        <w:t xml:space="preserve">la </w:t>
      </w:r>
      <w:r w:rsidR="001658AD" w:rsidRPr="00CC1A8C">
        <w:rPr>
          <w:b/>
          <w:i/>
          <w:sz w:val="18"/>
          <w:szCs w:val="18"/>
        </w:rPr>
        <w:t>séptima</w:t>
      </w:r>
      <w:r w:rsidR="00D9693D" w:rsidRPr="00CC1A8C">
        <w:rPr>
          <w:b/>
          <w:i/>
          <w:sz w:val="18"/>
          <w:szCs w:val="18"/>
        </w:rPr>
        <w:t xml:space="preserve"> sesión ordinaria </w:t>
      </w:r>
      <w:r w:rsidRPr="00CC1A8C">
        <w:rPr>
          <w:b/>
          <w:i/>
          <w:sz w:val="18"/>
          <w:szCs w:val="18"/>
        </w:rPr>
        <w:t xml:space="preserve"> del  </w:t>
      </w:r>
      <w:r w:rsidR="00556A6B" w:rsidRPr="00CC1A8C">
        <w:rPr>
          <w:b/>
          <w:i/>
          <w:sz w:val="18"/>
          <w:szCs w:val="18"/>
        </w:rPr>
        <w:t xml:space="preserve">Comité de  compras </w:t>
      </w:r>
      <w:r w:rsidR="00556A6B" w:rsidRPr="00CC1A8C">
        <w:rPr>
          <w:rFonts w:cstheme="minorHAnsi"/>
          <w:b/>
          <w:i/>
          <w:sz w:val="18"/>
          <w:szCs w:val="18"/>
        </w:rPr>
        <w:t>Gubernamentales, Contratación de Servicios, Arrendamientos y Enajenaciones, para el Municipio de Zapotlán el Grande, Jalisco</w:t>
      </w:r>
    </w:p>
    <w:p w:rsidR="007524E5" w:rsidRDefault="007524E5" w:rsidP="00CD146B">
      <w:pPr>
        <w:rPr>
          <w:rFonts w:cstheme="minorHAnsi"/>
          <w:b/>
          <w:i/>
          <w:sz w:val="16"/>
          <w:szCs w:val="16"/>
        </w:rPr>
      </w:pPr>
    </w:p>
    <w:sectPr w:rsidR="007524E5" w:rsidSect="00E8226A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0F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174A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B1B2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56AB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635E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C3CD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65EF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83B9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3FA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01F83"/>
    <w:rsid w:val="00014FA1"/>
    <w:rsid w:val="0002119C"/>
    <w:rsid w:val="00024395"/>
    <w:rsid w:val="00025B4C"/>
    <w:rsid w:val="0003644A"/>
    <w:rsid w:val="0005261F"/>
    <w:rsid w:val="00056291"/>
    <w:rsid w:val="00056449"/>
    <w:rsid w:val="00076555"/>
    <w:rsid w:val="0009469E"/>
    <w:rsid w:val="000C0C98"/>
    <w:rsid w:val="000D4702"/>
    <w:rsid w:val="000D7CB1"/>
    <w:rsid w:val="000E7F63"/>
    <w:rsid w:val="00101E5D"/>
    <w:rsid w:val="00112159"/>
    <w:rsid w:val="001129BE"/>
    <w:rsid w:val="00117F2B"/>
    <w:rsid w:val="001347C6"/>
    <w:rsid w:val="00142D62"/>
    <w:rsid w:val="00143703"/>
    <w:rsid w:val="001461B6"/>
    <w:rsid w:val="001658AD"/>
    <w:rsid w:val="00181313"/>
    <w:rsid w:val="00186CE3"/>
    <w:rsid w:val="001A14A4"/>
    <w:rsid w:val="001A6407"/>
    <w:rsid w:val="001D5354"/>
    <w:rsid w:val="001F0989"/>
    <w:rsid w:val="001F2816"/>
    <w:rsid w:val="001F3268"/>
    <w:rsid w:val="00213732"/>
    <w:rsid w:val="0022163A"/>
    <w:rsid w:val="00223366"/>
    <w:rsid w:val="002367E9"/>
    <w:rsid w:val="00252A60"/>
    <w:rsid w:val="00253275"/>
    <w:rsid w:val="00285D8F"/>
    <w:rsid w:val="002924CD"/>
    <w:rsid w:val="002B72A0"/>
    <w:rsid w:val="002C596F"/>
    <w:rsid w:val="002D29A5"/>
    <w:rsid w:val="002E7C23"/>
    <w:rsid w:val="00336643"/>
    <w:rsid w:val="00336889"/>
    <w:rsid w:val="0037564C"/>
    <w:rsid w:val="00391C83"/>
    <w:rsid w:val="00393495"/>
    <w:rsid w:val="003A286A"/>
    <w:rsid w:val="003B1AEB"/>
    <w:rsid w:val="003B5F99"/>
    <w:rsid w:val="003B685D"/>
    <w:rsid w:val="003C1527"/>
    <w:rsid w:val="003C5A0E"/>
    <w:rsid w:val="003E63B1"/>
    <w:rsid w:val="003F063B"/>
    <w:rsid w:val="003F418C"/>
    <w:rsid w:val="003F72B2"/>
    <w:rsid w:val="00402089"/>
    <w:rsid w:val="00402802"/>
    <w:rsid w:val="00412888"/>
    <w:rsid w:val="00426456"/>
    <w:rsid w:val="00443FD9"/>
    <w:rsid w:val="0046418F"/>
    <w:rsid w:val="0046704E"/>
    <w:rsid w:val="00474E22"/>
    <w:rsid w:val="00485E45"/>
    <w:rsid w:val="00486440"/>
    <w:rsid w:val="004943F5"/>
    <w:rsid w:val="004B28C7"/>
    <w:rsid w:val="004B2E8C"/>
    <w:rsid w:val="004B739D"/>
    <w:rsid w:val="004C0852"/>
    <w:rsid w:val="004D5397"/>
    <w:rsid w:val="004D7274"/>
    <w:rsid w:val="004E5278"/>
    <w:rsid w:val="004E68BE"/>
    <w:rsid w:val="004E7A46"/>
    <w:rsid w:val="004F3AB7"/>
    <w:rsid w:val="004F7B15"/>
    <w:rsid w:val="00510D2A"/>
    <w:rsid w:val="00513319"/>
    <w:rsid w:val="005175C0"/>
    <w:rsid w:val="00521BEC"/>
    <w:rsid w:val="005345C7"/>
    <w:rsid w:val="00536DB6"/>
    <w:rsid w:val="00542C72"/>
    <w:rsid w:val="00544911"/>
    <w:rsid w:val="00546356"/>
    <w:rsid w:val="00556A6B"/>
    <w:rsid w:val="0056404B"/>
    <w:rsid w:val="00576D8F"/>
    <w:rsid w:val="005777F8"/>
    <w:rsid w:val="005817D1"/>
    <w:rsid w:val="005823E5"/>
    <w:rsid w:val="00582513"/>
    <w:rsid w:val="0058300F"/>
    <w:rsid w:val="00593E8C"/>
    <w:rsid w:val="005A063D"/>
    <w:rsid w:val="005B22F4"/>
    <w:rsid w:val="005B3945"/>
    <w:rsid w:val="005B4624"/>
    <w:rsid w:val="005D1BC6"/>
    <w:rsid w:val="005E2A1E"/>
    <w:rsid w:val="005E5D2D"/>
    <w:rsid w:val="005F3794"/>
    <w:rsid w:val="00622B5F"/>
    <w:rsid w:val="00632C2C"/>
    <w:rsid w:val="006439C4"/>
    <w:rsid w:val="00646508"/>
    <w:rsid w:val="00663EF4"/>
    <w:rsid w:val="00685E43"/>
    <w:rsid w:val="006929EA"/>
    <w:rsid w:val="00696B36"/>
    <w:rsid w:val="00697CF3"/>
    <w:rsid w:val="006B1CF6"/>
    <w:rsid w:val="006B6CAF"/>
    <w:rsid w:val="006C4A94"/>
    <w:rsid w:val="006D2B6B"/>
    <w:rsid w:val="006D2D36"/>
    <w:rsid w:val="006D34D3"/>
    <w:rsid w:val="006D477D"/>
    <w:rsid w:val="006D62FF"/>
    <w:rsid w:val="006E0F8E"/>
    <w:rsid w:val="006F6A52"/>
    <w:rsid w:val="006F7FAE"/>
    <w:rsid w:val="0070468A"/>
    <w:rsid w:val="007157D3"/>
    <w:rsid w:val="00734605"/>
    <w:rsid w:val="0073669D"/>
    <w:rsid w:val="007524E5"/>
    <w:rsid w:val="007537ED"/>
    <w:rsid w:val="00755EFF"/>
    <w:rsid w:val="00761884"/>
    <w:rsid w:val="007647B2"/>
    <w:rsid w:val="00771D1C"/>
    <w:rsid w:val="00777294"/>
    <w:rsid w:val="00797509"/>
    <w:rsid w:val="007B34B8"/>
    <w:rsid w:val="007D5B47"/>
    <w:rsid w:val="008123F8"/>
    <w:rsid w:val="00813A59"/>
    <w:rsid w:val="008379CF"/>
    <w:rsid w:val="00847BB7"/>
    <w:rsid w:val="00854DB0"/>
    <w:rsid w:val="0087464E"/>
    <w:rsid w:val="00883331"/>
    <w:rsid w:val="008A1E89"/>
    <w:rsid w:val="008A5E0F"/>
    <w:rsid w:val="008C5AD6"/>
    <w:rsid w:val="008D0D85"/>
    <w:rsid w:val="008E1813"/>
    <w:rsid w:val="008F6829"/>
    <w:rsid w:val="008F712D"/>
    <w:rsid w:val="008F733F"/>
    <w:rsid w:val="0090167C"/>
    <w:rsid w:val="00904EED"/>
    <w:rsid w:val="009058CB"/>
    <w:rsid w:val="009114DE"/>
    <w:rsid w:val="0091605C"/>
    <w:rsid w:val="0092167F"/>
    <w:rsid w:val="009216BA"/>
    <w:rsid w:val="00923F0B"/>
    <w:rsid w:val="0093003A"/>
    <w:rsid w:val="00942E21"/>
    <w:rsid w:val="00945FAF"/>
    <w:rsid w:val="00946D2F"/>
    <w:rsid w:val="0095799A"/>
    <w:rsid w:val="00972B75"/>
    <w:rsid w:val="00981E0D"/>
    <w:rsid w:val="009A6700"/>
    <w:rsid w:val="009B00B5"/>
    <w:rsid w:val="009B2C7B"/>
    <w:rsid w:val="009B503F"/>
    <w:rsid w:val="009B54F2"/>
    <w:rsid w:val="009B6C62"/>
    <w:rsid w:val="009D6FC5"/>
    <w:rsid w:val="009E3C07"/>
    <w:rsid w:val="009E7A7B"/>
    <w:rsid w:val="009F612D"/>
    <w:rsid w:val="00A0370C"/>
    <w:rsid w:val="00A11A72"/>
    <w:rsid w:val="00A139B4"/>
    <w:rsid w:val="00A1668B"/>
    <w:rsid w:val="00A27018"/>
    <w:rsid w:val="00A31952"/>
    <w:rsid w:val="00A41C40"/>
    <w:rsid w:val="00A506DA"/>
    <w:rsid w:val="00A574F8"/>
    <w:rsid w:val="00A5750D"/>
    <w:rsid w:val="00A64945"/>
    <w:rsid w:val="00A73E91"/>
    <w:rsid w:val="00A811D6"/>
    <w:rsid w:val="00A83DD9"/>
    <w:rsid w:val="00A863F7"/>
    <w:rsid w:val="00A9079B"/>
    <w:rsid w:val="00A93571"/>
    <w:rsid w:val="00AB1825"/>
    <w:rsid w:val="00AB1B3C"/>
    <w:rsid w:val="00AC353C"/>
    <w:rsid w:val="00AD07BD"/>
    <w:rsid w:val="00AE0DC6"/>
    <w:rsid w:val="00AE2FB8"/>
    <w:rsid w:val="00AE4523"/>
    <w:rsid w:val="00AF1B06"/>
    <w:rsid w:val="00AF7E55"/>
    <w:rsid w:val="00B006B1"/>
    <w:rsid w:val="00B10E80"/>
    <w:rsid w:val="00B529AC"/>
    <w:rsid w:val="00B56639"/>
    <w:rsid w:val="00B57BDC"/>
    <w:rsid w:val="00B637E2"/>
    <w:rsid w:val="00B65AA1"/>
    <w:rsid w:val="00B67DD9"/>
    <w:rsid w:val="00B82D90"/>
    <w:rsid w:val="00B8412F"/>
    <w:rsid w:val="00B863A6"/>
    <w:rsid w:val="00B87631"/>
    <w:rsid w:val="00B94E78"/>
    <w:rsid w:val="00BA357F"/>
    <w:rsid w:val="00BC4161"/>
    <w:rsid w:val="00BE30DD"/>
    <w:rsid w:val="00BE5784"/>
    <w:rsid w:val="00BF34FE"/>
    <w:rsid w:val="00BF79A0"/>
    <w:rsid w:val="00C11F23"/>
    <w:rsid w:val="00C515F1"/>
    <w:rsid w:val="00C54C1C"/>
    <w:rsid w:val="00C64CF3"/>
    <w:rsid w:val="00C7267B"/>
    <w:rsid w:val="00C85158"/>
    <w:rsid w:val="00C96A11"/>
    <w:rsid w:val="00CC1A8C"/>
    <w:rsid w:val="00CC23D4"/>
    <w:rsid w:val="00CD146B"/>
    <w:rsid w:val="00CD15EC"/>
    <w:rsid w:val="00CE5305"/>
    <w:rsid w:val="00CE5F9B"/>
    <w:rsid w:val="00CF3431"/>
    <w:rsid w:val="00CF60BB"/>
    <w:rsid w:val="00D077C3"/>
    <w:rsid w:val="00D21FA7"/>
    <w:rsid w:val="00D34EC4"/>
    <w:rsid w:val="00D46084"/>
    <w:rsid w:val="00D4697A"/>
    <w:rsid w:val="00D57320"/>
    <w:rsid w:val="00D60C97"/>
    <w:rsid w:val="00D64207"/>
    <w:rsid w:val="00D9693D"/>
    <w:rsid w:val="00DA44F6"/>
    <w:rsid w:val="00DB5D3A"/>
    <w:rsid w:val="00DC4118"/>
    <w:rsid w:val="00DC7916"/>
    <w:rsid w:val="00DF63BB"/>
    <w:rsid w:val="00E115D6"/>
    <w:rsid w:val="00E17EFF"/>
    <w:rsid w:val="00E3218C"/>
    <w:rsid w:val="00E557A1"/>
    <w:rsid w:val="00E5707C"/>
    <w:rsid w:val="00E620A9"/>
    <w:rsid w:val="00E66C4B"/>
    <w:rsid w:val="00E726B7"/>
    <w:rsid w:val="00E73267"/>
    <w:rsid w:val="00E8226A"/>
    <w:rsid w:val="00E9782F"/>
    <w:rsid w:val="00EA0488"/>
    <w:rsid w:val="00EA15D9"/>
    <w:rsid w:val="00EA5C1A"/>
    <w:rsid w:val="00EB2FBB"/>
    <w:rsid w:val="00EB3E39"/>
    <w:rsid w:val="00EB6E9A"/>
    <w:rsid w:val="00EC495F"/>
    <w:rsid w:val="00EE2FFC"/>
    <w:rsid w:val="00EE4294"/>
    <w:rsid w:val="00EE4A96"/>
    <w:rsid w:val="00EE5F60"/>
    <w:rsid w:val="00EF2C31"/>
    <w:rsid w:val="00F01755"/>
    <w:rsid w:val="00F03F99"/>
    <w:rsid w:val="00F06832"/>
    <w:rsid w:val="00F20F80"/>
    <w:rsid w:val="00F27173"/>
    <w:rsid w:val="00F32CA9"/>
    <w:rsid w:val="00F45001"/>
    <w:rsid w:val="00F64ED8"/>
    <w:rsid w:val="00F6662C"/>
    <w:rsid w:val="00F71AB2"/>
    <w:rsid w:val="00F774D8"/>
    <w:rsid w:val="00F83136"/>
    <w:rsid w:val="00F87BC6"/>
    <w:rsid w:val="00FB0C6E"/>
    <w:rsid w:val="00FC1C00"/>
    <w:rsid w:val="00FD111E"/>
    <w:rsid w:val="00FD116B"/>
    <w:rsid w:val="00FD2F85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F6ED8-8E75-49C4-9026-6F8DA8DC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F06832"/>
  </w:style>
  <w:style w:type="table" w:styleId="Tablaconcuadrcula">
    <w:name w:val="Table Grid"/>
    <w:basedOn w:val="Tablanormal"/>
    <w:uiPriority w:val="5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761884"/>
    <w:pPr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7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0C98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16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2</cp:revision>
  <dcterms:created xsi:type="dcterms:W3CDTF">2019-04-01T17:12:00Z</dcterms:created>
  <dcterms:modified xsi:type="dcterms:W3CDTF">2019-04-01T17:12:00Z</dcterms:modified>
</cp:coreProperties>
</file>