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37C50CF7" w:rsidR="002970F4" w:rsidRDefault="00977C6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RAMON MEDINA</w:t>
      </w:r>
    </w:p>
    <w:p w14:paraId="1EB5EB6F" w14:textId="6513A68A" w:rsidR="00EA0D42" w:rsidRDefault="00EA0D42" w:rsidP="00EA0D4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DE8EEC6" w14:textId="3F5B1978" w:rsidR="00EA0D42" w:rsidRDefault="00EA0D42" w:rsidP="00EA0D4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MECANICO “A”</w:t>
      </w:r>
    </w:p>
    <w:p w14:paraId="36F3419B" w14:textId="1FED37B8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FAD532" w14:textId="77777777" w:rsidR="0088512C" w:rsidRPr="007F7EF7" w:rsidRDefault="0088512C" w:rsidP="0088512C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AD1D57A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EF77BF6" w14:textId="59DB305B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</w:p>
    <w:p w14:paraId="775B99FB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16B155B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AFA33EC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267DE567" w:rsidR="00E77DB9" w:rsidRDefault="00A5578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F0599C">
        <w:rPr>
          <w:rFonts w:ascii="Cambria" w:hAnsi="Cambria"/>
          <w:color w:val="000000"/>
          <w:sz w:val="24"/>
          <w:szCs w:val="24"/>
        </w:rPr>
        <w:t>7</w:t>
      </w:r>
      <w:r w:rsidR="00380BA1">
        <w:rPr>
          <w:rFonts w:ascii="Cambria" w:hAnsi="Cambria"/>
          <w:color w:val="000000"/>
          <w:sz w:val="24"/>
          <w:szCs w:val="24"/>
        </w:rPr>
        <w:t>0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380BA1">
        <w:rPr>
          <w:rFonts w:ascii="Cambria" w:hAnsi="Cambria"/>
          <w:color w:val="000000"/>
          <w:sz w:val="24"/>
          <w:szCs w:val="24"/>
        </w:rPr>
        <w:t>77</w:t>
      </w:r>
      <w:r>
        <w:rPr>
          <w:rFonts w:ascii="Cambria" w:hAnsi="Cambria"/>
          <w:color w:val="000000"/>
          <w:sz w:val="24"/>
          <w:szCs w:val="24"/>
        </w:rPr>
        <w:t xml:space="preserve">) </w:t>
      </w:r>
      <w:r w:rsidR="00F0599C">
        <w:rPr>
          <w:rFonts w:ascii="Cambria" w:hAnsi="Cambria"/>
          <w:color w:val="000000"/>
          <w:sz w:val="24"/>
          <w:szCs w:val="24"/>
        </w:rPr>
        <w:t>–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380BA1">
        <w:rPr>
          <w:rFonts w:ascii="Cambria" w:hAnsi="Cambria"/>
          <w:color w:val="000000"/>
          <w:sz w:val="24"/>
          <w:szCs w:val="24"/>
        </w:rPr>
        <w:t>Primaria Fray Pedro de Gante</w:t>
      </w:r>
    </w:p>
    <w:p w14:paraId="0F30517A" w14:textId="0C9A3137" w:rsidR="00A5578D" w:rsidRDefault="00F0599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</w:t>
      </w:r>
      <w:r w:rsidR="00A5578D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575AE23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4A6342C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72C590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49B71A" w14:textId="2D0608AF" w:rsidR="00CF7114" w:rsidRDefault="00380BA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Juan Pablo Alcaraz Arreola</w:t>
      </w:r>
    </w:p>
    <w:p w14:paraId="0E4056D5" w14:textId="25B60F17" w:rsidR="00A5578D" w:rsidRDefault="00380BA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Abril</w:t>
      </w:r>
      <w:r w:rsidR="00F0599C">
        <w:rPr>
          <w:rFonts w:ascii="Cambria" w:hAnsi="Cambria"/>
          <w:color w:val="000000"/>
          <w:sz w:val="24"/>
          <w:szCs w:val="24"/>
        </w:rPr>
        <w:t xml:space="preserve"> 198</w:t>
      </w:r>
      <w:r>
        <w:rPr>
          <w:rFonts w:ascii="Cambria" w:hAnsi="Cambria"/>
          <w:color w:val="000000"/>
          <w:sz w:val="24"/>
          <w:szCs w:val="24"/>
        </w:rPr>
        <w:t>4</w:t>
      </w:r>
      <w:r w:rsidR="00A5578D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Julio</w:t>
      </w:r>
      <w:r w:rsidR="00F0599C">
        <w:rPr>
          <w:rFonts w:ascii="Cambria" w:hAnsi="Cambria"/>
          <w:color w:val="000000"/>
          <w:sz w:val="24"/>
          <w:szCs w:val="24"/>
        </w:rPr>
        <w:t xml:space="preserve"> </w:t>
      </w:r>
      <w:r w:rsidR="00A5578D">
        <w:rPr>
          <w:rFonts w:ascii="Cambria" w:hAnsi="Cambria"/>
          <w:color w:val="000000"/>
          <w:sz w:val="24"/>
          <w:szCs w:val="24"/>
        </w:rPr>
        <w:t>19</w:t>
      </w:r>
      <w:r w:rsidR="00F0599C">
        <w:rPr>
          <w:rFonts w:ascii="Cambria" w:hAnsi="Cambria"/>
          <w:color w:val="000000"/>
          <w:sz w:val="24"/>
          <w:szCs w:val="24"/>
        </w:rPr>
        <w:t>86</w:t>
      </w:r>
    </w:p>
    <w:p w14:paraId="4537FC1C" w14:textId="4FD13B56" w:rsidR="00F0599C" w:rsidRDefault="00380BA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Chofer y Mecánico</w:t>
      </w:r>
    </w:p>
    <w:p w14:paraId="3CE16642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4ED3AD87" w14:textId="5E558ED5" w:rsidR="00A5578D" w:rsidRDefault="00380BA1" w:rsidP="00A557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Automóviles de Zapotlán S.A. de C.V.</w:t>
      </w:r>
    </w:p>
    <w:p w14:paraId="286B8977" w14:textId="0EAAB9A6" w:rsidR="00A5578D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Julio</w:t>
      </w:r>
      <w:r w:rsidR="00F0599C">
        <w:rPr>
          <w:rFonts w:ascii="Cambria" w:hAnsi="Cambria"/>
          <w:color w:val="000000"/>
          <w:sz w:val="24"/>
          <w:szCs w:val="24"/>
        </w:rPr>
        <w:t xml:space="preserve"> </w:t>
      </w:r>
      <w:r w:rsidR="00A5578D">
        <w:rPr>
          <w:rFonts w:ascii="Cambria" w:hAnsi="Cambria"/>
          <w:color w:val="000000"/>
          <w:sz w:val="24"/>
          <w:szCs w:val="24"/>
        </w:rPr>
        <w:t>19</w:t>
      </w:r>
      <w:r w:rsidR="00F0599C">
        <w:rPr>
          <w:rFonts w:ascii="Cambria" w:hAnsi="Cambria"/>
          <w:color w:val="000000"/>
          <w:sz w:val="24"/>
          <w:szCs w:val="24"/>
        </w:rPr>
        <w:t>8</w:t>
      </w:r>
      <w:r>
        <w:rPr>
          <w:rFonts w:ascii="Cambria" w:hAnsi="Cambria"/>
          <w:color w:val="000000"/>
          <w:sz w:val="24"/>
          <w:szCs w:val="24"/>
        </w:rPr>
        <w:t>6</w:t>
      </w:r>
      <w:r w:rsidR="00A5578D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Mayo 1991</w:t>
      </w:r>
    </w:p>
    <w:p w14:paraId="296ACB16" w14:textId="7D80FDAB" w:rsidR="00F0599C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Chofer y Mecánico</w:t>
      </w:r>
    </w:p>
    <w:p w14:paraId="1C6B4F19" w14:textId="77777777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</w:p>
    <w:p w14:paraId="5BC62CAD" w14:textId="6CAE24F3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Agencia Ford</w:t>
      </w:r>
    </w:p>
    <w:p w14:paraId="5CACCFD6" w14:textId="32F20617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Mayo 1991 - </w:t>
      </w:r>
      <w:r w:rsidR="00CA4BE2">
        <w:rPr>
          <w:rFonts w:ascii="Cambria" w:hAnsi="Cambria"/>
          <w:color w:val="000000"/>
          <w:sz w:val="24"/>
          <w:szCs w:val="24"/>
        </w:rPr>
        <w:t>1995</w:t>
      </w:r>
    </w:p>
    <w:p w14:paraId="46A0BDB1" w14:textId="72D0A216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Chofer y Mecánico</w:t>
      </w:r>
    </w:p>
    <w:p w14:paraId="2DD69518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840D09E" w14:textId="24539E33" w:rsidR="00F0599C" w:rsidRDefault="000731BE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a Gasolina Particular</w:t>
      </w:r>
    </w:p>
    <w:p w14:paraId="699023F9" w14:textId="27CAA61E" w:rsidR="00F0599C" w:rsidRDefault="000731BE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Junio</w:t>
      </w:r>
      <w:r w:rsidR="00F0599C">
        <w:rPr>
          <w:rFonts w:ascii="Cambria" w:hAnsi="Cambria"/>
          <w:color w:val="000000"/>
          <w:sz w:val="24"/>
          <w:szCs w:val="24"/>
        </w:rPr>
        <w:t xml:space="preserve"> 1991 – </w:t>
      </w:r>
      <w:r>
        <w:rPr>
          <w:rFonts w:ascii="Cambria" w:hAnsi="Cambria"/>
          <w:color w:val="000000"/>
          <w:sz w:val="24"/>
          <w:szCs w:val="24"/>
        </w:rPr>
        <w:t>A la Fecha</w: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753CC6B6" w14:textId="65A2CE3B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08C41694" w14:textId="7888DE47" w:rsidR="00F0599C" w:rsidRDefault="00EA0D4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06 de </w:t>
      </w:r>
      <w:proofErr w:type="gramStart"/>
      <w:r w:rsidR="000731BE">
        <w:rPr>
          <w:rFonts w:ascii="Cambria" w:hAnsi="Cambria"/>
          <w:color w:val="000000"/>
          <w:sz w:val="24"/>
          <w:szCs w:val="24"/>
        </w:rPr>
        <w:t>Abril</w:t>
      </w:r>
      <w:proofErr w:type="gramEnd"/>
      <w:r w:rsidR="00F0599C">
        <w:rPr>
          <w:rFonts w:ascii="Cambria" w:hAnsi="Cambria"/>
          <w:color w:val="000000"/>
          <w:sz w:val="24"/>
          <w:szCs w:val="24"/>
        </w:rPr>
        <w:t xml:space="preserve"> 1995 – A la fecha</w:t>
      </w:r>
    </w:p>
    <w:p w14:paraId="37A02C87" w14:textId="2C752500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Diésel</w:t>
      </w: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485E256" w14:textId="77777777" w:rsidR="00EA0D42" w:rsidRDefault="00EA0D42" w:rsidP="00437569">
      <w:pPr>
        <w:rPr>
          <w:rFonts w:ascii="Cambria" w:hAnsi="Cambria"/>
          <w:color w:val="000000"/>
          <w:sz w:val="24"/>
          <w:szCs w:val="24"/>
        </w:rPr>
      </w:pPr>
    </w:p>
    <w:p w14:paraId="05FA8EA1" w14:textId="77777777" w:rsidR="00EA0D42" w:rsidRDefault="00EA0D42" w:rsidP="00437569">
      <w:pPr>
        <w:rPr>
          <w:rFonts w:ascii="Cambria" w:hAnsi="Cambria"/>
          <w:color w:val="000000"/>
          <w:sz w:val="24"/>
          <w:szCs w:val="24"/>
        </w:rPr>
      </w:pPr>
    </w:p>
    <w:p w14:paraId="7EF235B8" w14:textId="5F48C6AC" w:rsidR="005413C7" w:rsidRDefault="00DE0ED3" w:rsidP="00437569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039183C8" w14:textId="2D9590FC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proofErr w:type="spellStart"/>
      <w:r w:rsidRPr="00437569">
        <w:rPr>
          <w:rFonts w:asciiTheme="majorHAnsi" w:hAnsiTheme="majorHAnsi"/>
          <w:sz w:val="24"/>
          <w:lang w:val="es-MX"/>
        </w:rPr>
        <w:t>Cedva</w:t>
      </w:r>
      <w:proofErr w:type="spellEnd"/>
      <w:r w:rsidRPr="00437569">
        <w:rPr>
          <w:rFonts w:asciiTheme="majorHAnsi" w:hAnsiTheme="majorHAnsi"/>
          <w:sz w:val="24"/>
          <w:lang w:val="es-MX"/>
        </w:rPr>
        <w:t xml:space="preserve"> (Centro de Especialidades </w:t>
      </w:r>
      <w:proofErr w:type="spellStart"/>
      <w:r w:rsidRPr="00437569">
        <w:rPr>
          <w:rFonts w:asciiTheme="majorHAnsi" w:hAnsiTheme="majorHAnsi"/>
          <w:sz w:val="24"/>
          <w:lang w:val="es-MX"/>
        </w:rPr>
        <w:t>Tecnicas</w:t>
      </w:r>
      <w:proofErr w:type="spellEnd"/>
      <w:r w:rsidRPr="00437569">
        <w:rPr>
          <w:rFonts w:asciiTheme="majorHAnsi" w:hAnsiTheme="majorHAnsi"/>
          <w:sz w:val="24"/>
          <w:lang w:val="es-MX"/>
        </w:rPr>
        <w:t xml:space="preserve"> </w:t>
      </w:r>
      <w:proofErr w:type="spellStart"/>
      <w:r w:rsidRPr="00437569">
        <w:rPr>
          <w:rFonts w:asciiTheme="majorHAnsi" w:hAnsiTheme="majorHAnsi"/>
          <w:sz w:val="24"/>
          <w:lang w:val="es-MX"/>
        </w:rPr>
        <w:t>Autootrices</w:t>
      </w:r>
      <w:proofErr w:type="spellEnd"/>
      <w:r w:rsidRPr="00437569">
        <w:rPr>
          <w:rFonts w:asciiTheme="majorHAnsi" w:hAnsiTheme="majorHAnsi"/>
          <w:sz w:val="24"/>
          <w:lang w:val="es-MX"/>
        </w:rPr>
        <w:t>) Guadalajara</w:t>
      </w:r>
    </w:p>
    <w:p w14:paraId="5DE7ED29" w14:textId="0C39C8F0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 xml:space="preserve">Especialidad en Fuel </w:t>
      </w:r>
      <w:proofErr w:type="spellStart"/>
      <w:r w:rsidRPr="00437569">
        <w:rPr>
          <w:rFonts w:asciiTheme="majorHAnsi" w:hAnsiTheme="majorHAnsi"/>
          <w:sz w:val="24"/>
          <w:lang w:val="es-MX"/>
        </w:rPr>
        <w:t>Injection</w:t>
      </w:r>
      <w:proofErr w:type="spellEnd"/>
    </w:p>
    <w:p w14:paraId="25822107" w14:textId="2D2D6B6B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Fundamentos de electricidad</w:t>
      </w:r>
    </w:p>
    <w:p w14:paraId="1FDE45ED" w14:textId="6886E64A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Tecnología de encendidos electrónicos</w:t>
      </w:r>
    </w:p>
    <w:p w14:paraId="4B892CC2" w14:textId="340597B5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Taller de encendidos electrónicos</w:t>
      </w:r>
    </w:p>
    <w:p w14:paraId="4946966C" w14:textId="0043FAD4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Tecnología de inyección electrónica</w:t>
      </w:r>
    </w:p>
    <w:p w14:paraId="458AFE20" w14:textId="4ED8C9BD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Taller de inyección electrónica</w:t>
      </w:r>
    </w:p>
    <w:p w14:paraId="32A714E1" w14:textId="77777777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</w:p>
    <w:p w14:paraId="6DC034DE" w14:textId="02872C1A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 xml:space="preserve">IDEFT </w:t>
      </w:r>
      <w:proofErr w:type="spellStart"/>
      <w:r w:rsidRPr="00437569">
        <w:rPr>
          <w:rFonts w:asciiTheme="majorHAnsi" w:hAnsiTheme="majorHAnsi"/>
          <w:sz w:val="24"/>
          <w:lang w:val="es-MX"/>
        </w:rPr>
        <w:t>Autotrónica</w:t>
      </w:r>
      <w:proofErr w:type="spellEnd"/>
    </w:p>
    <w:p w14:paraId="37278788" w14:textId="025C53CD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Diciembre 2009</w:t>
      </w:r>
    </w:p>
    <w:p w14:paraId="16B394B3" w14:textId="5C190BE6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Disposiciones generales de sistema OBDII-CAN</w:t>
      </w:r>
    </w:p>
    <w:p w14:paraId="2B078F81" w14:textId="49979C86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Introducción a la electrónica automotriz</w:t>
      </w:r>
    </w:p>
    <w:p w14:paraId="7B0D558B" w14:textId="5B548665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Aparatos de medición por diagnosis automotriz</w:t>
      </w:r>
    </w:p>
    <w:p w14:paraId="723C4206" w14:textId="60CE1E69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Operación interna de PCM y el diagnóstico electrónico</w:t>
      </w:r>
    </w:p>
    <w:p w14:paraId="77D27B38" w14:textId="43663BF1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de encendido</w:t>
      </w:r>
    </w:p>
    <w:p w14:paraId="5E7180C7" w14:textId="2B099480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de combustible</w:t>
      </w:r>
    </w:p>
    <w:p w14:paraId="44166ABC" w14:textId="18C0EDBE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de admisión</w:t>
      </w:r>
    </w:p>
    <w:p w14:paraId="7E51874F" w14:textId="49DEB0D7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de escape por control de emisiones contaminantes</w:t>
      </w:r>
    </w:p>
    <w:p w14:paraId="3C6D583B" w14:textId="63A1E9CA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inmovilizador</w:t>
      </w:r>
    </w:p>
    <w:p w14:paraId="7F330709" w14:textId="5592DE98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Sistema de frenos antibloqueo ABS</w:t>
      </w:r>
    </w:p>
    <w:p w14:paraId="09E07913" w14:textId="77777777" w:rsidR="00CA4BE2" w:rsidRPr="00437569" w:rsidRDefault="00CA4BE2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Constancia</w:t>
      </w:r>
    </w:p>
    <w:sectPr w:rsidR="00545FB3" w:rsidRPr="0043756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6B9A" w14:textId="77777777" w:rsidR="00C84A68" w:rsidRDefault="00C84A68" w:rsidP="0095069D">
      <w:r>
        <w:separator/>
      </w:r>
    </w:p>
  </w:endnote>
  <w:endnote w:type="continuationSeparator" w:id="0">
    <w:p w14:paraId="568D4FFF" w14:textId="77777777" w:rsidR="00C84A68" w:rsidRDefault="00C84A68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0D42" w14:textId="77777777" w:rsidR="00C84A68" w:rsidRDefault="00C84A68" w:rsidP="0095069D">
      <w:r>
        <w:separator/>
      </w:r>
    </w:p>
  </w:footnote>
  <w:footnote w:type="continuationSeparator" w:id="0">
    <w:p w14:paraId="5FE58969" w14:textId="77777777" w:rsidR="00C84A68" w:rsidRDefault="00C84A68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84A6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7BD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569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A53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12C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4A68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02B1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0D42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2022-10-08T19:12:00Z</dcterms:created>
  <dcterms:modified xsi:type="dcterms:W3CDTF">2022-10-08T19:12:00Z</dcterms:modified>
</cp:coreProperties>
</file>