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CD5BC2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CD5BC2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CD5BC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CD5BC2">
        <w:drawing>
          <wp:inline distT="0" distB="0" distL="0" distR="0">
            <wp:extent cx="9144000" cy="225835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25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CD5BC2" w:rsidP="007166A0">
                            <w:pPr>
                              <w:spacing w:after="0"/>
                              <w:jc w:val="center"/>
                            </w:pPr>
                            <w:r>
                              <w:t>LIC. ANA MARGARITA MONTOYA ROMERO</w:t>
                            </w:r>
                          </w:p>
                          <w:p w:rsidR="007166A0" w:rsidRPr="00694D33" w:rsidRDefault="00CD5BC2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DIRECTORA DE INGRESOS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CD5BC2" w:rsidP="007166A0">
                      <w:pPr>
                        <w:spacing w:after="0"/>
                        <w:jc w:val="center"/>
                      </w:pPr>
                      <w:r>
                        <w:t>LIC. ANA MARGARITA MONTOYA ROMERO</w:t>
                      </w:r>
                    </w:p>
                    <w:p w:rsidR="007166A0" w:rsidRPr="00694D33" w:rsidRDefault="00CD5BC2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DIRECTORA DE INGRESOS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CD5BC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F970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A8FD-187F-4579-A90D-42B94AFF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2021-06-21T19:27:00Z</dcterms:modified>
</cp:coreProperties>
</file>