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FA055"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5B3EAC">
        <w:rPr>
          <w:rFonts w:ascii="Cambria" w:eastAsia="Arial Unicode MS" w:hAnsi="Cambria" w:cs="Arial"/>
          <w:b/>
          <w:sz w:val="24"/>
          <w:szCs w:val="24"/>
          <w:bdr w:val="nil"/>
        </w:rPr>
        <w:t>HONORABLE AYUNTAMIENTO CONSTITUCIONAL</w:t>
      </w:r>
    </w:p>
    <w:p w14:paraId="1956A257"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5B3EAC">
        <w:rPr>
          <w:rFonts w:ascii="Cambria" w:eastAsia="Arial Unicode MS" w:hAnsi="Cambria" w:cs="Arial"/>
          <w:b/>
          <w:sz w:val="24"/>
          <w:szCs w:val="24"/>
          <w:bdr w:val="nil"/>
        </w:rPr>
        <w:t>DE ZAPOTLÁN EL GRANDE, JALISCO</w:t>
      </w:r>
    </w:p>
    <w:p w14:paraId="2B9EA5B2"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5B3EAC">
        <w:rPr>
          <w:rFonts w:ascii="Cambria" w:eastAsia="Arial Unicode MS" w:hAnsi="Cambria" w:cs="Arial"/>
          <w:b/>
          <w:sz w:val="24"/>
          <w:szCs w:val="24"/>
          <w:bdr w:val="nil"/>
        </w:rPr>
        <w:t>P R E S E N T E</w:t>
      </w:r>
    </w:p>
    <w:p w14:paraId="00475916"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5B3EAC">
        <w:rPr>
          <w:rFonts w:ascii="Cambria" w:eastAsia="Arial Unicode MS" w:hAnsi="Cambria" w:cs="Arial"/>
          <w:sz w:val="24"/>
          <w:szCs w:val="24"/>
          <w:bdr w:val="nil"/>
        </w:rPr>
        <w:tab/>
      </w:r>
      <w:r w:rsidRPr="005B3EAC">
        <w:rPr>
          <w:rFonts w:ascii="Cambria" w:eastAsia="Arial Unicode MS" w:hAnsi="Cambria" w:cs="Arial"/>
          <w:sz w:val="24"/>
          <w:szCs w:val="24"/>
          <w:bdr w:val="nil"/>
        </w:rPr>
        <w:tab/>
      </w:r>
    </w:p>
    <w:p w14:paraId="4C31560A"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1BBEAE8E"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5B3EAC">
        <w:rPr>
          <w:rFonts w:ascii="Cambria" w:eastAsia="Arial Unicode MS" w:hAnsi="Cambria" w:cs="Arial"/>
          <w:sz w:val="24"/>
          <w:szCs w:val="24"/>
          <w:bdr w:val="nil"/>
          <w:lang w:val="es-ES"/>
        </w:rPr>
        <w:t xml:space="preserve">Quien motiva y suscribe </w:t>
      </w:r>
      <w:r w:rsidRPr="005B3EAC">
        <w:rPr>
          <w:rFonts w:ascii="Cambria" w:eastAsia="Arial Unicode MS" w:hAnsi="Cambria" w:cs="Arial"/>
          <w:b/>
          <w:sz w:val="24"/>
          <w:szCs w:val="24"/>
          <w:bdr w:val="nil"/>
          <w:lang w:val="es-ES"/>
        </w:rPr>
        <w:t xml:space="preserve">C. J. JESUS GUERRERO ZÚÑIGA, </w:t>
      </w:r>
      <w:r w:rsidRPr="005B3EAC">
        <w:rPr>
          <w:rFonts w:ascii="Cambria" w:eastAsia="Arial Unicode MS" w:hAnsi="Cambria" w:cs="Arial"/>
          <w:sz w:val="24"/>
          <w:szCs w:val="24"/>
          <w:bdr w:val="nil"/>
          <w:lang w:val="es-ES"/>
        </w:rPr>
        <w:t xml:space="preserve">Presidente Municipal de Zapotlán el Grande, Jalisco, en mi carácter de integrante del H. Ayuntamiento Constitucional de Zapotlán el Grande, Jalisco, con fundamento 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así como lo normado en los artículos 87 fracción I,92 y demás relativos y aplicables del Reglamento Interior del Ayuntamiento de Zapotlán el Grande, Jalisco; al amparo de lo dispuesto, presento: </w:t>
      </w:r>
    </w:p>
    <w:p w14:paraId="7D3B352E"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63741D5F" w14:textId="33ED0473" w:rsidR="00860AC9" w:rsidRPr="005B3EAC" w:rsidRDefault="006E4091" w:rsidP="00860AC9">
      <w:pPr>
        <w:pBdr>
          <w:top w:val="nil"/>
          <w:left w:val="nil"/>
          <w:bottom w:val="nil"/>
          <w:right w:val="nil"/>
          <w:between w:val="nil"/>
          <w:bar w:val="nil"/>
        </w:pBdr>
        <w:spacing w:after="0" w:line="240" w:lineRule="auto"/>
        <w:jc w:val="both"/>
        <w:rPr>
          <w:rFonts w:ascii="Cambria" w:eastAsia="Arial Unicode MS" w:hAnsi="Cambria" w:cs="Arial"/>
          <w:b/>
          <w:sz w:val="24"/>
          <w:szCs w:val="24"/>
          <w:bdr w:val="nil"/>
          <w:lang w:val="es-ES"/>
        </w:rPr>
      </w:pPr>
      <w:r w:rsidRPr="005B3EAC">
        <w:rPr>
          <w:rFonts w:ascii="Cambria" w:eastAsia="Arial Unicode MS" w:hAnsi="Cambria" w:cs="Arial"/>
          <w:b/>
          <w:sz w:val="24"/>
          <w:szCs w:val="24"/>
          <w:bdr w:val="nil"/>
          <w:lang w:val="es-ES"/>
        </w:rPr>
        <w:t xml:space="preserve">INICIATIVA QUE PROPONE DEJAR SIN EFECTOS, LO ACORDADO EN LOS PUNTOS NÚMERO 3 TRES, CELEBRADO EN LA SESIÓN PÚBLICA EXTRAORDINARIA NÚMERO 21 VEINTIUNO, </w:t>
      </w:r>
      <w:r w:rsidR="00E44096" w:rsidRPr="005B3EAC">
        <w:rPr>
          <w:rFonts w:ascii="Cambria" w:eastAsia="Arial Unicode MS" w:hAnsi="Cambria" w:cs="Arial"/>
          <w:b/>
          <w:sz w:val="24"/>
          <w:szCs w:val="24"/>
          <w:bdr w:val="nil"/>
          <w:lang w:val="es-ES"/>
        </w:rPr>
        <w:t>D</w:t>
      </w:r>
      <w:r w:rsidRPr="005B3EAC">
        <w:rPr>
          <w:rFonts w:ascii="Cambria" w:eastAsia="Arial Unicode MS" w:hAnsi="Cambria" w:cs="Arial"/>
          <w:b/>
          <w:sz w:val="24"/>
          <w:szCs w:val="24"/>
          <w:bdr w:val="nil"/>
          <w:lang w:val="es-ES"/>
        </w:rPr>
        <w:t xml:space="preserve">EL DÍA 23 DE JULIO DEL AÑO 2019, ASÍ COMO  </w:t>
      </w:r>
      <w:r w:rsidRPr="005B3EAC">
        <w:rPr>
          <w:rFonts w:ascii="Cambria" w:eastAsia="Arial Unicode MS" w:hAnsi="Cambria" w:cs="Arial"/>
          <w:b/>
          <w:bCs/>
          <w:sz w:val="24"/>
          <w:szCs w:val="24"/>
          <w:bdr w:val="nil"/>
          <w:lang w:val="es-ES"/>
        </w:rPr>
        <w:t xml:space="preserve">LA INICIATIVA MODIFICATORIA, CELEBRADA EN EL PUNTO NÚMERO 3 TRES DE LA ORDEN DEL DÍA DE LA SESIÓN PÚBLICA EXTRAORDINARIA NÚMERO 33, CELEBRADA EL DÍA 16 DE OCTUBRE DEL AÑO 2019, </w:t>
      </w:r>
      <w:r w:rsidR="00860AC9" w:rsidRPr="005B3EAC">
        <w:rPr>
          <w:rFonts w:ascii="Cambria" w:eastAsia="Arial Unicode MS" w:hAnsi="Cambria" w:cs="Arial"/>
          <w:sz w:val="24"/>
          <w:szCs w:val="24"/>
          <w:bdr w:val="nil"/>
          <w:lang w:val="es-ES"/>
        </w:rPr>
        <w:t xml:space="preserve">de conformidad con los siguientes </w:t>
      </w:r>
    </w:p>
    <w:p w14:paraId="7897A27F"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6C41CBEF" w14:textId="77777777" w:rsidR="00860AC9" w:rsidRPr="005B3EAC" w:rsidRDefault="00860AC9" w:rsidP="00860AC9">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r w:rsidRPr="005B3EAC">
        <w:rPr>
          <w:rFonts w:ascii="Cambria" w:eastAsia="Arial Unicode MS" w:hAnsi="Cambria" w:cs="Arial"/>
          <w:b/>
          <w:sz w:val="24"/>
          <w:szCs w:val="24"/>
          <w:bdr w:val="nil"/>
          <w:lang w:val="es-ES"/>
        </w:rPr>
        <w:t>A N T E C E D E N T E S:</w:t>
      </w:r>
    </w:p>
    <w:p w14:paraId="33397BF2" w14:textId="77777777" w:rsidR="00860AC9" w:rsidRPr="005B3EAC" w:rsidRDefault="00860AC9" w:rsidP="00860AC9">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p>
    <w:p w14:paraId="3F54D0F3" w14:textId="79D7F153" w:rsidR="00EC0B28" w:rsidRPr="005B3EAC" w:rsidRDefault="006F7816" w:rsidP="00A916F5">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5B3EAC">
        <w:rPr>
          <w:rFonts w:ascii="Cambria" w:eastAsia="Arial Unicode MS" w:hAnsi="Cambria" w:cs="Arial"/>
          <w:b/>
          <w:sz w:val="24"/>
          <w:szCs w:val="24"/>
          <w:bdr w:val="nil"/>
          <w:lang w:val="es-ES"/>
        </w:rPr>
        <w:t>I.-</w:t>
      </w:r>
      <w:r w:rsidRPr="005B3EAC">
        <w:rPr>
          <w:rFonts w:ascii="Cambria" w:eastAsia="Arial Unicode MS" w:hAnsi="Cambria" w:cs="Arial"/>
          <w:sz w:val="24"/>
          <w:szCs w:val="24"/>
          <w:bdr w:val="nil"/>
          <w:lang w:val="es-ES"/>
        </w:rPr>
        <w:t xml:space="preserve"> </w:t>
      </w:r>
      <w:r w:rsidR="00EC0B28" w:rsidRPr="005B3EAC">
        <w:rPr>
          <w:rFonts w:ascii="Cambria" w:eastAsia="Arial Unicode MS" w:hAnsi="Cambria" w:cs="Arial"/>
          <w:sz w:val="24"/>
          <w:szCs w:val="24"/>
          <w:bdr w:val="nil"/>
          <w:lang w:val="es-ES"/>
        </w:rPr>
        <w:t>D</w:t>
      </w:r>
      <w:r w:rsidR="00A916F5" w:rsidRPr="005B3EAC">
        <w:rPr>
          <w:rFonts w:ascii="Cambria" w:eastAsia="Arial Unicode MS" w:hAnsi="Cambria" w:cs="Arial"/>
          <w:sz w:val="24"/>
          <w:szCs w:val="24"/>
          <w:bdr w:val="nil"/>
          <w:lang w:val="es-ES"/>
        </w:rPr>
        <w:t>urante el año 2013, se generó</w:t>
      </w:r>
      <w:r w:rsidR="00EC0B28" w:rsidRPr="005B3EAC">
        <w:rPr>
          <w:rFonts w:ascii="Cambria" w:eastAsia="Arial Unicode MS" w:hAnsi="Cambria" w:cs="Arial"/>
          <w:sz w:val="24"/>
          <w:szCs w:val="24"/>
          <w:bdr w:val="nil"/>
          <w:lang w:val="es-ES"/>
        </w:rPr>
        <w:t xml:space="preserve"> un paquete de 9 iniciativas en materia energética que incluían reformas en temas de hidrocarburos, electricidad, un</w:t>
      </w:r>
      <w:r w:rsidR="001B76E8" w:rsidRPr="005B3EAC">
        <w:rPr>
          <w:rFonts w:ascii="Cambria" w:eastAsia="Arial Unicode MS" w:hAnsi="Cambria" w:cs="Arial"/>
          <w:sz w:val="24"/>
          <w:szCs w:val="24"/>
          <w:bdr w:val="nil"/>
          <w:lang w:val="es-ES"/>
        </w:rPr>
        <w:t xml:space="preserve"> nuevo diseño institucional, la </w:t>
      </w:r>
      <w:r w:rsidR="00EC0B28" w:rsidRPr="005B3EAC">
        <w:rPr>
          <w:rFonts w:ascii="Cambria" w:eastAsia="Arial Unicode MS" w:hAnsi="Cambria" w:cs="Arial"/>
          <w:sz w:val="24"/>
          <w:szCs w:val="24"/>
          <w:bdr w:val="nil"/>
          <w:lang w:val="es-ES"/>
        </w:rPr>
        <w:t>transformación de PEMEX y CFE como empresas p</w:t>
      </w:r>
      <w:r w:rsidR="00A916F5" w:rsidRPr="005B3EAC">
        <w:rPr>
          <w:rFonts w:ascii="Cambria" w:eastAsia="Arial Unicode MS" w:hAnsi="Cambria" w:cs="Arial"/>
          <w:sz w:val="24"/>
          <w:szCs w:val="24"/>
          <w:bdr w:val="nil"/>
          <w:lang w:val="es-ES"/>
        </w:rPr>
        <w:t xml:space="preserve">roductivas del estado.  Esta reforma energética fue </w:t>
      </w:r>
      <w:r w:rsidR="00A916F5" w:rsidRPr="005B3EAC">
        <w:rPr>
          <w:rFonts w:ascii="Cambria" w:eastAsia="Arial Unicode MS" w:hAnsi="Cambria" w:cs="Arial"/>
          <w:sz w:val="24"/>
          <w:szCs w:val="24"/>
          <w:bdr w:val="nil"/>
        </w:rPr>
        <w:t>aprobada por el Senado de la República el 11 de octubre de 2013 y por la Cámara de Diputados un día después. El 18 de diciembre de 2013, la reforma fue declarada constitucional por el Poder Legislativo Federal; fue promulgada por el Ejecutivo el 20 de diciembre de 2013 y publicada al día siguiente en el Diario Oficial de la Federación.</w:t>
      </w:r>
    </w:p>
    <w:p w14:paraId="33E0D28B" w14:textId="77777777" w:rsidR="00A916F5" w:rsidRPr="005B3EAC" w:rsidRDefault="00A916F5" w:rsidP="00A916F5">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52F9F749" w14:textId="77777777" w:rsidR="00EC0B28" w:rsidRPr="005B3EAC" w:rsidRDefault="00A916F5" w:rsidP="006E4091">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5B3EAC">
        <w:rPr>
          <w:rFonts w:ascii="Cambria" w:eastAsia="Arial Unicode MS" w:hAnsi="Cambria" w:cs="Arial"/>
          <w:sz w:val="24"/>
          <w:szCs w:val="24"/>
          <w:bdr w:val="nil"/>
          <w:lang w:val="es-ES"/>
        </w:rPr>
        <w:t xml:space="preserve">Se generó </w:t>
      </w:r>
      <w:r w:rsidR="00EC0B28" w:rsidRPr="005B3EAC">
        <w:rPr>
          <w:rFonts w:ascii="Cambria" w:eastAsia="Arial Unicode MS" w:hAnsi="Cambria" w:cs="Arial"/>
          <w:sz w:val="24"/>
          <w:szCs w:val="24"/>
          <w:bdr w:val="nil"/>
          <w:lang w:val="es-ES"/>
        </w:rPr>
        <w:t xml:space="preserve">bajo </w:t>
      </w:r>
      <w:r w:rsidRPr="005B3EAC">
        <w:rPr>
          <w:rFonts w:ascii="Cambria" w:eastAsia="Arial Unicode MS" w:hAnsi="Cambria" w:cs="Arial"/>
          <w:sz w:val="24"/>
          <w:szCs w:val="24"/>
          <w:bdr w:val="nil"/>
          <w:lang w:val="es-ES"/>
        </w:rPr>
        <w:t>los principios de que l</w:t>
      </w:r>
      <w:r w:rsidR="00EC0B28" w:rsidRPr="005B3EAC">
        <w:rPr>
          <w:rFonts w:ascii="Cambria" w:eastAsia="Arial Unicode MS" w:hAnsi="Cambria" w:cs="Arial"/>
          <w:sz w:val="24"/>
          <w:szCs w:val="24"/>
          <w:bdr w:val="nil"/>
          <w:lang w:val="es-ES"/>
        </w:rPr>
        <w:t>os hidrocarburos son</w:t>
      </w:r>
      <w:r w:rsidRPr="005B3EAC">
        <w:rPr>
          <w:rFonts w:ascii="Cambria" w:eastAsia="Arial Unicode MS" w:hAnsi="Cambria" w:cs="Arial"/>
          <w:sz w:val="24"/>
          <w:szCs w:val="24"/>
          <w:bdr w:val="nil"/>
          <w:lang w:val="es-ES"/>
        </w:rPr>
        <w:t xml:space="preserve"> y seguirán siendo de la Nación; con una mayor competencia, </w:t>
      </w:r>
      <w:r w:rsidR="00EC0B28" w:rsidRPr="005B3EAC">
        <w:rPr>
          <w:rFonts w:ascii="Cambria" w:eastAsia="Arial Unicode MS" w:hAnsi="Cambria" w:cs="Arial"/>
          <w:sz w:val="24"/>
          <w:szCs w:val="24"/>
          <w:bdr w:val="nil"/>
          <w:lang w:val="es-ES"/>
        </w:rPr>
        <w:t xml:space="preserve">más productividad, mayor competitividad y mejores precios. </w:t>
      </w:r>
      <w:r w:rsidRPr="005B3EAC">
        <w:rPr>
          <w:rFonts w:ascii="Cambria" w:eastAsia="Arial Unicode MS" w:hAnsi="Cambria" w:cs="Arial"/>
          <w:sz w:val="24"/>
          <w:szCs w:val="24"/>
          <w:bdr w:val="nil"/>
          <w:lang w:val="es-ES"/>
        </w:rPr>
        <w:t>Se fomentaron ó</w:t>
      </w:r>
      <w:r w:rsidR="00EC0B28" w:rsidRPr="005B3EAC">
        <w:rPr>
          <w:rFonts w:ascii="Cambria" w:eastAsia="Arial Unicode MS" w:hAnsi="Cambria" w:cs="Arial"/>
          <w:sz w:val="24"/>
          <w:szCs w:val="24"/>
          <w:bdr w:val="nil"/>
          <w:lang w:val="es-ES"/>
        </w:rPr>
        <w:t xml:space="preserve">rganos reguladores fuertes para un </w:t>
      </w:r>
      <w:r w:rsidRPr="005B3EAC">
        <w:rPr>
          <w:rFonts w:ascii="Cambria" w:eastAsia="Arial Unicode MS" w:hAnsi="Cambria" w:cs="Arial"/>
          <w:sz w:val="24"/>
          <w:szCs w:val="24"/>
          <w:bdr w:val="nil"/>
          <w:lang w:val="es-ES"/>
        </w:rPr>
        <w:t>mercado eficiente, con a</w:t>
      </w:r>
      <w:r w:rsidR="00EC0B28" w:rsidRPr="005B3EAC">
        <w:rPr>
          <w:rFonts w:ascii="Cambria" w:eastAsia="Arial Unicode MS" w:hAnsi="Cambria" w:cs="Arial"/>
          <w:sz w:val="24"/>
          <w:szCs w:val="24"/>
          <w:bdr w:val="nil"/>
          <w:lang w:val="es-ES"/>
        </w:rPr>
        <w:t xml:space="preserve">bsoluta transparencia para dar certidumbre a todos. </w:t>
      </w:r>
      <w:r w:rsidRPr="005B3EAC">
        <w:rPr>
          <w:rFonts w:ascii="Cambria" w:eastAsia="Arial Unicode MS" w:hAnsi="Cambria" w:cs="Arial"/>
          <w:sz w:val="24"/>
          <w:szCs w:val="24"/>
          <w:bdr w:val="nil"/>
          <w:lang w:val="es-ES"/>
        </w:rPr>
        <w:t>Se fomentaron las energías</w:t>
      </w:r>
      <w:r w:rsidR="00EC0B28" w:rsidRPr="005B3EAC">
        <w:rPr>
          <w:rFonts w:ascii="Cambria" w:eastAsia="Arial Unicode MS" w:hAnsi="Cambria" w:cs="Arial"/>
          <w:sz w:val="24"/>
          <w:szCs w:val="24"/>
          <w:bdr w:val="nil"/>
          <w:lang w:val="es-ES"/>
        </w:rPr>
        <w:t xml:space="preserve"> limpias y </w:t>
      </w:r>
      <w:r w:rsidRPr="005B3EAC">
        <w:rPr>
          <w:rFonts w:ascii="Cambria" w:eastAsia="Arial Unicode MS" w:hAnsi="Cambria" w:cs="Arial"/>
          <w:sz w:val="24"/>
          <w:szCs w:val="24"/>
          <w:bdr w:val="nil"/>
          <w:lang w:val="es-ES"/>
        </w:rPr>
        <w:t xml:space="preserve">la </w:t>
      </w:r>
      <w:r w:rsidR="00EC0B28" w:rsidRPr="005B3EAC">
        <w:rPr>
          <w:rFonts w:ascii="Cambria" w:eastAsia="Arial Unicode MS" w:hAnsi="Cambria" w:cs="Arial"/>
          <w:sz w:val="24"/>
          <w:szCs w:val="24"/>
          <w:bdr w:val="nil"/>
          <w:lang w:val="es-ES"/>
        </w:rPr>
        <w:t xml:space="preserve">protección al medio ambiente para garantizar un futuro sustentable. </w:t>
      </w:r>
      <w:r w:rsidRPr="005B3EAC">
        <w:rPr>
          <w:rFonts w:ascii="Cambria" w:eastAsia="Arial Unicode MS" w:hAnsi="Cambria" w:cs="Arial"/>
          <w:sz w:val="24"/>
          <w:szCs w:val="24"/>
          <w:bdr w:val="nil"/>
          <w:lang w:val="es-ES"/>
        </w:rPr>
        <w:t>Se buscó dar mayo</w:t>
      </w:r>
      <w:r w:rsidR="00EC0B28" w:rsidRPr="005B3EAC">
        <w:rPr>
          <w:rFonts w:ascii="Cambria" w:eastAsia="Arial Unicode MS" w:hAnsi="Cambria" w:cs="Arial"/>
          <w:sz w:val="24"/>
          <w:szCs w:val="24"/>
          <w:bdr w:val="nil"/>
          <w:lang w:val="es-ES"/>
        </w:rPr>
        <w:t xml:space="preserve">r capacidad  productiva a PEMEX y CFE para competir exitosamente. </w:t>
      </w:r>
    </w:p>
    <w:p w14:paraId="5A908EB9" w14:textId="77777777" w:rsidR="00EC0B28" w:rsidRPr="005B3EAC" w:rsidRDefault="00EC0B28" w:rsidP="006E4091">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76C03BED" w14:textId="77777777" w:rsidR="009F6BD7" w:rsidRPr="005B3EAC" w:rsidRDefault="00EC0B28" w:rsidP="009F6BD7">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5B3EAC">
        <w:rPr>
          <w:rFonts w:ascii="Cambria" w:eastAsia="Arial Unicode MS" w:hAnsi="Cambria" w:cs="Arial"/>
          <w:sz w:val="24"/>
          <w:szCs w:val="24"/>
          <w:bdr w:val="nil"/>
          <w:lang w:val="es-ES"/>
        </w:rPr>
        <w:lastRenderedPageBreak/>
        <w:t xml:space="preserve">En materia de energía eléctrica nació el CENACE como un organismo autónomo que controla el Sistema Eléctrico Nacional y propone </w:t>
      </w:r>
      <w:r w:rsidR="009F6BD7" w:rsidRPr="005B3EAC">
        <w:rPr>
          <w:rFonts w:ascii="Cambria" w:eastAsia="Arial Unicode MS" w:hAnsi="Cambria" w:cs="Arial"/>
          <w:sz w:val="24"/>
          <w:szCs w:val="24"/>
          <w:bdr w:val="nil"/>
          <w:lang w:val="es-ES"/>
        </w:rPr>
        <w:t xml:space="preserve">la expansión de la transmisión e incentivando la generación a precios competitivos y lograr una electrificación nacional. </w:t>
      </w:r>
    </w:p>
    <w:p w14:paraId="47C7E271" w14:textId="77777777" w:rsidR="009F6BD7" w:rsidRPr="005B3EAC" w:rsidRDefault="009F6BD7" w:rsidP="009F6BD7">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5B3EAC">
        <w:rPr>
          <w:rFonts w:ascii="Cambria" w:eastAsia="Arial Unicode MS" w:hAnsi="Cambria" w:cs="Arial"/>
          <w:sz w:val="24"/>
          <w:szCs w:val="24"/>
          <w:bdr w:val="nil"/>
          <w:lang w:val="es-ES"/>
        </w:rPr>
        <w:t xml:space="preserve"> </w:t>
      </w:r>
    </w:p>
    <w:p w14:paraId="5A46DFE4" w14:textId="77777777" w:rsidR="009F6BD7" w:rsidRPr="005B3EAC" w:rsidRDefault="009F6BD7" w:rsidP="009F6BD7">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5B3EAC">
        <w:rPr>
          <w:rFonts w:ascii="Cambria" w:eastAsia="Arial Unicode MS" w:hAnsi="Cambria" w:cs="Arial"/>
          <w:sz w:val="24"/>
          <w:szCs w:val="24"/>
          <w:bdr w:val="nil"/>
        </w:rPr>
        <w:t>Uno de los objetivos es que el sistema eléctrico nacional esté impulsado conjuntamente por la Comisión Federal de Electricidad (CFE)  y particulares bajo la conducción del Estado, con el objetivo de reducir costos y elevar la productividad y eficiencia del sistema eléctrico, disminuyendo así las tarifas eléctricas. La propiedad de las centrales y las redes de transmisión y distribución de la Comisión Federal de Electricidad que son públicas y se mantienen en manos de la Nación.</w:t>
      </w:r>
    </w:p>
    <w:p w14:paraId="6C51FE7A" w14:textId="77777777" w:rsidR="001B76E8" w:rsidRPr="005B3EAC" w:rsidRDefault="001B76E8" w:rsidP="009F6BD7">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14:paraId="0E1A7A44" w14:textId="6EAEEFCC" w:rsidR="009F6BD7" w:rsidRPr="005B3EAC" w:rsidRDefault="009F6BD7" w:rsidP="006E4091">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5B3EAC">
        <w:rPr>
          <w:rFonts w:ascii="Cambria" w:eastAsia="Arial Unicode MS" w:hAnsi="Cambria" w:cs="Arial"/>
          <w:sz w:val="24"/>
          <w:szCs w:val="24"/>
          <w:bdr w:val="nil"/>
        </w:rPr>
        <w:t>Se corrigieron las limitaciones del modelo energético para agregar </w:t>
      </w:r>
      <w:r w:rsidRPr="005B3EAC">
        <w:rPr>
          <w:rFonts w:ascii="Cambria" w:eastAsia="Arial Unicode MS" w:hAnsi="Cambria" w:cs="Arial"/>
          <w:b/>
          <w:sz w:val="24"/>
          <w:szCs w:val="24"/>
          <w:u w:val="single"/>
          <w:bdr w:val="nil"/>
        </w:rPr>
        <w:t>energías renovables</w:t>
      </w:r>
      <w:r w:rsidRPr="005B3EAC">
        <w:rPr>
          <w:rFonts w:ascii="Cambria" w:eastAsia="Arial Unicode MS" w:hAnsi="Cambria" w:cs="Arial"/>
          <w:sz w:val="24"/>
          <w:szCs w:val="24"/>
          <w:bdr w:val="nil"/>
        </w:rPr>
        <w:t> a gran escala mediante un mercado administrado por el Estado a través de un operador independiente, y el establecimiento de certificados de energías limpias. Con esto, se promueve la diversificación en la producción de la energía con el uso de energía eólica, geotérmica, hidráulica y mini hidráulica, biomasa y solar.</w:t>
      </w:r>
      <w:r w:rsidR="001B76E8" w:rsidRPr="005B3EAC">
        <w:rPr>
          <w:rFonts w:ascii="Cambria" w:eastAsia="Arial Unicode MS" w:hAnsi="Cambria" w:cs="Arial"/>
          <w:sz w:val="24"/>
          <w:szCs w:val="24"/>
          <w:bdr w:val="nil"/>
        </w:rPr>
        <w:t xml:space="preserve"> Adicionalmente, se fortaleció</w:t>
      </w:r>
      <w:r w:rsidRPr="005B3EAC">
        <w:rPr>
          <w:rFonts w:ascii="Cambria" w:eastAsia="Arial Unicode MS" w:hAnsi="Cambria" w:cs="Arial"/>
          <w:sz w:val="24"/>
          <w:szCs w:val="24"/>
          <w:bdr w:val="nil"/>
        </w:rPr>
        <w:t xml:space="preserve"> la CFE dotándole de mayor libertad en aspectos operativos y </w:t>
      </w:r>
      <w:r w:rsidR="001B76E8" w:rsidRPr="005B3EAC">
        <w:rPr>
          <w:rFonts w:ascii="Cambria" w:eastAsia="Arial Unicode MS" w:hAnsi="Cambria" w:cs="Arial"/>
          <w:sz w:val="24"/>
          <w:szCs w:val="24"/>
          <w:bdr w:val="nil"/>
        </w:rPr>
        <w:t xml:space="preserve">de organización, y se reforzaron </w:t>
      </w:r>
      <w:r w:rsidRPr="005B3EAC">
        <w:rPr>
          <w:rFonts w:ascii="Cambria" w:eastAsia="Arial Unicode MS" w:hAnsi="Cambria" w:cs="Arial"/>
          <w:sz w:val="24"/>
          <w:szCs w:val="24"/>
          <w:bdr w:val="nil"/>
        </w:rPr>
        <w:t>las facultades de la Secretaría de Energía y de la Comisión Reguladora de Energía.</w:t>
      </w:r>
    </w:p>
    <w:p w14:paraId="28D14205" w14:textId="77777777" w:rsidR="009F6BD7" w:rsidRPr="005B3EAC" w:rsidRDefault="009F6BD7" w:rsidP="006E4091">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7EDE7FF2" w14:textId="667136E4" w:rsidR="00EC0B28" w:rsidRPr="005B3EAC" w:rsidRDefault="009F6BD7" w:rsidP="00EB727E">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5B3EAC">
        <w:rPr>
          <w:rFonts w:ascii="Cambria" w:eastAsia="Arial Unicode MS" w:hAnsi="Cambria" w:cs="Arial"/>
          <w:sz w:val="24"/>
          <w:szCs w:val="24"/>
          <w:bdr w:val="nil"/>
        </w:rPr>
        <w:t xml:space="preserve">Además como </w:t>
      </w:r>
      <w:r w:rsidR="00EB727E" w:rsidRPr="005B3EAC">
        <w:rPr>
          <w:rFonts w:ascii="Cambria" w:eastAsia="Arial Unicode MS" w:hAnsi="Cambria" w:cs="Arial"/>
          <w:sz w:val="24"/>
          <w:szCs w:val="24"/>
          <w:bdr w:val="nil"/>
        </w:rPr>
        <w:t xml:space="preserve">parte del impulso a las energías renovables, se propuso una </w:t>
      </w:r>
      <w:r w:rsidR="00EB727E" w:rsidRPr="005B3EAC">
        <w:rPr>
          <w:rFonts w:ascii="Cambria" w:eastAsia="Arial Unicode MS" w:hAnsi="Cambria" w:cs="Arial"/>
          <w:b/>
          <w:bCs/>
          <w:sz w:val="24"/>
          <w:szCs w:val="24"/>
          <w:bdr w:val="nil"/>
        </w:rPr>
        <w:t xml:space="preserve">nueva Ley de Energía Geotérmica </w:t>
      </w:r>
      <w:r w:rsidR="00EB727E" w:rsidRPr="005B3EAC">
        <w:rPr>
          <w:rFonts w:ascii="Cambria" w:eastAsia="Arial Unicode MS" w:hAnsi="Cambria" w:cs="Arial"/>
          <w:sz w:val="24"/>
          <w:szCs w:val="24"/>
          <w:bdr w:val="nil"/>
        </w:rPr>
        <w:t xml:space="preserve">(reconocimiento, exploración y explotación de la energía del subsuelo). La meta era alcanzar </w:t>
      </w:r>
      <w:r w:rsidR="00EB727E" w:rsidRPr="005B3EAC">
        <w:rPr>
          <w:rFonts w:ascii="Cambria" w:eastAsia="Arial Unicode MS" w:hAnsi="Cambria" w:cs="Arial"/>
          <w:bCs/>
          <w:sz w:val="24"/>
          <w:szCs w:val="24"/>
          <w:bdr w:val="nil"/>
        </w:rPr>
        <w:t>al menos 10 GW</w:t>
      </w:r>
      <w:r w:rsidR="00EB727E" w:rsidRPr="005B3EAC">
        <w:rPr>
          <w:rFonts w:ascii="Cambria" w:eastAsia="Arial Unicode MS" w:hAnsi="Cambria" w:cs="Arial"/>
          <w:b/>
          <w:bCs/>
          <w:sz w:val="24"/>
          <w:szCs w:val="24"/>
          <w:bdr w:val="nil"/>
        </w:rPr>
        <w:t xml:space="preserve"> </w:t>
      </w:r>
      <w:r w:rsidR="00EB727E" w:rsidRPr="005B3EAC">
        <w:rPr>
          <w:rFonts w:ascii="Cambria" w:eastAsia="Arial Unicode MS" w:hAnsi="Cambria" w:cs="Arial"/>
          <w:sz w:val="24"/>
          <w:szCs w:val="24"/>
          <w:bdr w:val="nil"/>
        </w:rPr>
        <w:t xml:space="preserve">en capacidad. </w:t>
      </w:r>
      <w:r w:rsidR="00EB727E" w:rsidRPr="005B3EAC">
        <w:rPr>
          <w:rFonts w:ascii="Cambria" w:eastAsia="Arial Unicode MS" w:hAnsi="Cambria" w:cs="Arial"/>
          <w:b/>
          <w:sz w:val="24"/>
          <w:szCs w:val="24"/>
          <w:bdr w:val="nil"/>
        </w:rPr>
        <w:t xml:space="preserve">Dado </w:t>
      </w:r>
      <w:r w:rsidRPr="005B3EAC">
        <w:rPr>
          <w:rFonts w:ascii="Cambria" w:eastAsia="Arial Unicode MS" w:hAnsi="Cambria" w:cs="Arial"/>
          <w:b/>
          <w:sz w:val="24"/>
          <w:szCs w:val="24"/>
          <w:bdr w:val="nil"/>
        </w:rPr>
        <w:t xml:space="preserve">que México ocupa la 4ª </w:t>
      </w:r>
      <w:r w:rsidR="00EB727E" w:rsidRPr="005B3EAC">
        <w:rPr>
          <w:rFonts w:ascii="Cambria" w:eastAsia="Arial Unicode MS" w:hAnsi="Cambria" w:cs="Arial"/>
          <w:b/>
          <w:sz w:val="24"/>
          <w:szCs w:val="24"/>
          <w:bdr w:val="nil"/>
        </w:rPr>
        <w:t xml:space="preserve">posición en capacidad instalada para la energía Geotérmica en el Mundo, soló detrás de EEUU, Filipinas e Indonesia. </w:t>
      </w:r>
    </w:p>
    <w:p w14:paraId="48325BF2" w14:textId="77777777" w:rsidR="001B76E8" w:rsidRPr="005B3EAC" w:rsidRDefault="001B76E8" w:rsidP="00EB727E">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p>
    <w:p w14:paraId="38DF67B7" w14:textId="77777777" w:rsidR="00925078" w:rsidRPr="005B3EAC" w:rsidRDefault="00925078" w:rsidP="00EB727E">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5B3EAC">
        <w:rPr>
          <w:rFonts w:ascii="Cambria" w:eastAsia="Arial Unicode MS" w:hAnsi="Cambria" w:cs="Arial"/>
          <w:sz w:val="24"/>
          <w:szCs w:val="24"/>
          <w:bdr w:val="nil"/>
        </w:rPr>
        <w:t>Así mismo a través de la Agencia Nacional de Seguridad Industrial y de Protección al Medio Ambiente del Sector Hidrocarburos, se generaron elementos técnicos para un pol</w:t>
      </w:r>
      <w:r w:rsidR="009F6BD7" w:rsidRPr="005B3EAC">
        <w:rPr>
          <w:rFonts w:ascii="Cambria" w:eastAsia="Arial Unicode MS" w:hAnsi="Cambria" w:cs="Arial"/>
          <w:sz w:val="24"/>
          <w:szCs w:val="24"/>
          <w:bdr w:val="nil"/>
        </w:rPr>
        <w:t xml:space="preserve">ítica ambiental y energética, con </w:t>
      </w:r>
      <w:r w:rsidRPr="005B3EAC">
        <w:rPr>
          <w:rFonts w:ascii="Cambria" w:eastAsia="Arial Unicode MS" w:hAnsi="Cambria" w:cs="Arial"/>
          <w:sz w:val="24"/>
          <w:szCs w:val="24"/>
          <w:bdr w:val="nil"/>
        </w:rPr>
        <w:t xml:space="preserve">la protección, conservación y restauración de ecosistemas y recursos naturales, con un control de emisiones contaminantes y la caracterización y manejo de residuos, todo ello apostando a las políticas internacionales, conforme al uso de Energías Limpias y Sustentables. </w:t>
      </w:r>
    </w:p>
    <w:p w14:paraId="6D9ABA9C" w14:textId="77777777" w:rsidR="00925078" w:rsidRPr="005B3EAC" w:rsidRDefault="00925078" w:rsidP="00EB727E">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14:paraId="63F5D86C" w14:textId="08863419" w:rsidR="000C0890" w:rsidRPr="005B3EAC" w:rsidRDefault="00925078" w:rsidP="00EB727E">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5B3EAC">
        <w:rPr>
          <w:rFonts w:ascii="Cambria" w:eastAsia="Arial Unicode MS" w:hAnsi="Cambria" w:cs="Arial"/>
          <w:sz w:val="24"/>
          <w:szCs w:val="24"/>
          <w:bdr w:val="nil"/>
        </w:rPr>
        <w:t>Los objetiv</w:t>
      </w:r>
      <w:r w:rsidR="001B76E8" w:rsidRPr="005B3EAC">
        <w:rPr>
          <w:rFonts w:ascii="Cambria" w:eastAsia="Arial Unicode MS" w:hAnsi="Cambria" w:cs="Arial"/>
          <w:sz w:val="24"/>
          <w:szCs w:val="24"/>
          <w:bdr w:val="nil"/>
        </w:rPr>
        <w:t xml:space="preserve">os de esta reforma decretaron </w:t>
      </w:r>
      <w:r w:rsidRPr="005B3EAC">
        <w:rPr>
          <w:rFonts w:ascii="Cambria" w:eastAsia="Arial Unicode MS" w:hAnsi="Cambria" w:cs="Arial"/>
          <w:sz w:val="24"/>
          <w:szCs w:val="24"/>
          <w:bdr w:val="nil"/>
        </w:rPr>
        <w:t xml:space="preserve">que </w:t>
      </w:r>
    </w:p>
    <w:p w14:paraId="697C9AD9" w14:textId="5A19485C" w:rsidR="00A4641F" w:rsidRPr="005B3EAC" w:rsidRDefault="00A4641F" w:rsidP="006F7816">
      <w:pPr>
        <w:pStyle w:val="Prrafodelista"/>
        <w:numPr>
          <w:ilvl w:val="0"/>
          <w:numId w:val="2"/>
        </w:num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Se mejorar</w:t>
      </w:r>
      <w:r w:rsidR="001B76E8" w:rsidRPr="005B3EAC">
        <w:rPr>
          <w:rFonts w:ascii="Cambria" w:eastAsia="Arial Unicode MS" w:hAnsi="Cambria" w:cs="Arial"/>
          <w:bCs/>
          <w:sz w:val="24"/>
          <w:szCs w:val="24"/>
          <w:bdr w:val="nil"/>
        </w:rPr>
        <w:t>ía la economía de las familias, ya que bajarían</w:t>
      </w:r>
      <w:r w:rsidRPr="005B3EAC">
        <w:rPr>
          <w:rFonts w:ascii="Cambria" w:eastAsia="Arial Unicode MS" w:hAnsi="Cambria" w:cs="Arial"/>
          <w:bCs/>
          <w:sz w:val="24"/>
          <w:szCs w:val="24"/>
          <w:bdr w:val="nil"/>
        </w:rPr>
        <w:t xml:space="preserve"> los costos de los recibos de la luz y el gas. Al tener gas más barato se podrán producir fertilizantes de</w:t>
      </w:r>
      <w:r w:rsidR="001B76E8" w:rsidRPr="005B3EAC">
        <w:rPr>
          <w:rFonts w:ascii="Cambria" w:eastAsia="Arial Unicode MS" w:hAnsi="Cambria" w:cs="Arial"/>
          <w:bCs/>
          <w:sz w:val="24"/>
          <w:szCs w:val="24"/>
          <w:bdr w:val="nil"/>
        </w:rPr>
        <w:t xml:space="preserve"> mejor precio, lo que resultaría </w:t>
      </w:r>
      <w:r w:rsidRPr="005B3EAC">
        <w:rPr>
          <w:rFonts w:ascii="Cambria" w:eastAsia="Arial Unicode MS" w:hAnsi="Cambria" w:cs="Arial"/>
          <w:bCs/>
          <w:sz w:val="24"/>
          <w:szCs w:val="24"/>
          <w:bdr w:val="nil"/>
        </w:rPr>
        <w:t>en alimentos más baratos.</w:t>
      </w:r>
    </w:p>
    <w:p w14:paraId="6C4D5B15" w14:textId="28AC8CAD" w:rsidR="00A4641F" w:rsidRPr="005B3EAC" w:rsidRDefault="00A4641F" w:rsidP="006F7816">
      <w:pPr>
        <w:pStyle w:val="Prrafodelista"/>
        <w:numPr>
          <w:ilvl w:val="0"/>
          <w:numId w:val="2"/>
        </w:num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r w:rsidRPr="005B3EAC">
        <w:rPr>
          <w:rFonts w:ascii="Cambria" w:eastAsia="Arial Unicode MS" w:hAnsi="Cambria" w:cs="Arial"/>
          <w:bCs/>
          <w:sz w:val="24"/>
          <w:szCs w:val="24"/>
          <w:bdr w:val="nil"/>
        </w:rPr>
        <w:t>A partir del 2018 aumenta</w:t>
      </w:r>
      <w:r w:rsidR="001B76E8" w:rsidRPr="005B3EAC">
        <w:rPr>
          <w:rFonts w:ascii="Cambria" w:eastAsia="Arial Unicode MS" w:hAnsi="Cambria" w:cs="Arial"/>
          <w:bCs/>
          <w:sz w:val="24"/>
          <w:szCs w:val="24"/>
          <w:bdr w:val="nil"/>
        </w:rPr>
        <w:t>ría la inversión y los empleos, lo cual crearían</w:t>
      </w:r>
      <w:r w:rsidRPr="005B3EAC">
        <w:rPr>
          <w:rFonts w:ascii="Cambria" w:eastAsia="Arial Unicode MS" w:hAnsi="Cambria" w:cs="Arial"/>
          <w:bCs/>
          <w:sz w:val="24"/>
          <w:szCs w:val="24"/>
          <w:bdr w:val="nil"/>
        </w:rPr>
        <w:t xml:space="preserve"> nuevos trabajos en los próximos años. Con las nuevas e</w:t>
      </w:r>
      <w:r w:rsidR="001B76E8" w:rsidRPr="005B3EAC">
        <w:rPr>
          <w:rFonts w:ascii="Cambria" w:eastAsia="Arial Unicode MS" w:hAnsi="Cambria" w:cs="Arial"/>
          <w:bCs/>
          <w:sz w:val="24"/>
          <w:szCs w:val="24"/>
          <w:bdr w:val="nil"/>
        </w:rPr>
        <w:t xml:space="preserve">mpresas y menores tarifas habría </w:t>
      </w:r>
      <w:r w:rsidRPr="005B3EAC">
        <w:rPr>
          <w:rFonts w:ascii="Cambria" w:eastAsia="Arial Unicode MS" w:hAnsi="Cambria" w:cs="Arial"/>
          <w:bCs/>
          <w:sz w:val="24"/>
          <w:szCs w:val="24"/>
          <w:bdr w:val="nil"/>
        </w:rPr>
        <w:t>cerca de medio millón de empleos más en este sexenio y 2 y medio millones más para 2025, en todo el país.</w:t>
      </w:r>
      <w:r w:rsidRPr="005B3EAC">
        <w:rPr>
          <w:rFonts w:ascii="Cambria" w:eastAsia="Arial Unicode MS" w:hAnsi="Cambria" w:cs="Arial"/>
          <w:b/>
          <w:bCs/>
          <w:sz w:val="24"/>
          <w:szCs w:val="24"/>
          <w:bdr w:val="nil"/>
        </w:rPr>
        <w:t xml:space="preserve"> </w:t>
      </w:r>
    </w:p>
    <w:p w14:paraId="6EAC362D" w14:textId="3EB48DF4" w:rsidR="006F7816" w:rsidRPr="005B3EAC" w:rsidRDefault="00A4641F" w:rsidP="00747453">
      <w:pPr>
        <w:pStyle w:val="Prrafodelista"/>
        <w:numPr>
          <w:ilvl w:val="0"/>
          <w:numId w:val="2"/>
        </w:num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lastRenderedPageBreak/>
        <w:t>Se ref</w:t>
      </w:r>
      <w:r w:rsidR="001B76E8" w:rsidRPr="005B3EAC">
        <w:rPr>
          <w:rFonts w:ascii="Cambria" w:eastAsia="Arial Unicode MS" w:hAnsi="Cambria" w:cs="Arial"/>
          <w:bCs/>
          <w:sz w:val="24"/>
          <w:szCs w:val="24"/>
          <w:bdr w:val="nil"/>
        </w:rPr>
        <w:t xml:space="preserve">orzó a Pemex y a CFE, dándole </w:t>
      </w:r>
      <w:r w:rsidRPr="005B3EAC">
        <w:rPr>
          <w:rFonts w:ascii="Cambria" w:eastAsia="Arial Unicode MS" w:hAnsi="Cambria" w:cs="Arial"/>
          <w:bCs/>
          <w:sz w:val="24"/>
          <w:szCs w:val="24"/>
          <w:bdr w:val="nil"/>
        </w:rPr>
        <w:t>mayor libertad a cada empresa en sus d</w:t>
      </w:r>
      <w:r w:rsidR="001B76E8" w:rsidRPr="005B3EAC">
        <w:rPr>
          <w:rFonts w:ascii="Cambria" w:eastAsia="Arial Unicode MS" w:hAnsi="Cambria" w:cs="Arial"/>
          <w:bCs/>
          <w:sz w:val="24"/>
          <w:szCs w:val="24"/>
          <w:bdr w:val="nil"/>
        </w:rPr>
        <w:t>ecisiones para que se modernizarán y dieran</w:t>
      </w:r>
      <w:r w:rsidRPr="005B3EAC">
        <w:rPr>
          <w:rFonts w:ascii="Cambria" w:eastAsia="Arial Unicode MS" w:hAnsi="Cambria" w:cs="Arial"/>
          <w:bCs/>
          <w:sz w:val="24"/>
          <w:szCs w:val="24"/>
          <w:bdr w:val="nil"/>
        </w:rPr>
        <w:t xml:space="preserve"> mejores resultados. Pemex y CFE seguirán siendo empresas 100% de los mexicanos y 100% públicas. </w:t>
      </w:r>
      <w:r w:rsidR="001B76E8" w:rsidRPr="005B3EAC">
        <w:rPr>
          <w:rFonts w:ascii="Cambria" w:eastAsia="Arial Unicode MS" w:hAnsi="Cambria" w:cs="Arial"/>
          <w:bCs/>
          <w:sz w:val="24"/>
          <w:szCs w:val="24"/>
          <w:bdr w:val="nil"/>
        </w:rPr>
        <w:t>Pero se reforzó</w:t>
      </w:r>
      <w:r w:rsidRPr="005B3EAC">
        <w:rPr>
          <w:rFonts w:ascii="Cambria" w:eastAsia="Arial Unicode MS" w:hAnsi="Cambria" w:cs="Arial"/>
          <w:bCs/>
          <w:sz w:val="24"/>
          <w:szCs w:val="24"/>
          <w:bdr w:val="nil"/>
        </w:rPr>
        <w:t xml:space="preserve"> la rectoría del Estado como propietario del petróleo y gas, y como regulador de la industria petrolera.</w:t>
      </w:r>
    </w:p>
    <w:p w14:paraId="5FA75ECC" w14:textId="77777777" w:rsidR="006F7816" w:rsidRPr="005B3EAC" w:rsidRDefault="00747453" w:rsidP="00747453">
      <w:pPr>
        <w:pStyle w:val="Prrafodelista"/>
        <w:numPr>
          <w:ilvl w:val="0"/>
          <w:numId w:val="2"/>
        </w:num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En cuanto a la gasolina y diésel se fomentó a la industria y la inversión directa a través de una Unidad Especializada de la Secretaría de Economía, y un Consejo Consultivo (Economía + CNH + CRE + académicos y representantes).</w:t>
      </w:r>
    </w:p>
    <w:p w14:paraId="32EC9B17" w14:textId="77777777" w:rsidR="006F7816" w:rsidRPr="005B3EAC" w:rsidRDefault="00747453" w:rsidP="00747453">
      <w:pPr>
        <w:pStyle w:val="Prrafodelista"/>
        <w:numPr>
          <w:ilvl w:val="0"/>
          <w:numId w:val="2"/>
        </w:num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También se creó un Fideicomiso Público para promover el desarrollo de proveedores</w:t>
      </w:r>
      <w:r w:rsidR="006F7816" w:rsidRPr="005B3EAC">
        <w:rPr>
          <w:rFonts w:ascii="Cambria" w:eastAsia="Arial Unicode MS" w:hAnsi="Cambria" w:cs="Arial"/>
          <w:bCs/>
          <w:sz w:val="24"/>
          <w:szCs w:val="24"/>
          <w:bdr w:val="nil"/>
        </w:rPr>
        <w:t>.</w:t>
      </w:r>
    </w:p>
    <w:p w14:paraId="3A06992C" w14:textId="67568FE9" w:rsidR="00925078" w:rsidRPr="005B3EAC" w:rsidRDefault="006F7816" w:rsidP="00747453">
      <w:pPr>
        <w:pStyle w:val="Prrafodelista"/>
        <w:numPr>
          <w:ilvl w:val="0"/>
          <w:numId w:val="2"/>
        </w:num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Se realizó u</w:t>
      </w:r>
      <w:r w:rsidR="00747453" w:rsidRPr="005B3EAC">
        <w:rPr>
          <w:rFonts w:ascii="Cambria" w:eastAsia="Arial Unicode MS" w:hAnsi="Cambria" w:cs="Arial"/>
          <w:bCs/>
          <w:sz w:val="24"/>
          <w:szCs w:val="24"/>
          <w:bdr w:val="nil"/>
        </w:rPr>
        <w:t xml:space="preserve">na proyección de que del </w:t>
      </w:r>
      <w:r w:rsidR="001B76E8" w:rsidRPr="005B3EAC">
        <w:rPr>
          <w:rFonts w:ascii="Cambria" w:eastAsia="Arial Unicode MS" w:hAnsi="Cambria" w:cs="Arial"/>
          <w:bCs/>
          <w:sz w:val="24"/>
          <w:szCs w:val="24"/>
          <w:bdr w:val="nil"/>
        </w:rPr>
        <w:t xml:space="preserve">año </w:t>
      </w:r>
      <w:r w:rsidR="00747453" w:rsidRPr="005B3EAC">
        <w:rPr>
          <w:rFonts w:ascii="Cambria" w:eastAsia="Arial Unicode MS" w:hAnsi="Cambria" w:cs="Arial"/>
          <w:bCs/>
          <w:sz w:val="24"/>
          <w:szCs w:val="24"/>
          <w:bdr w:val="nil"/>
        </w:rPr>
        <w:t>2015 al 2019 los precios de la gasolina y el diésel se mantendrían en precios máximos y solamente se ajustarían conforme a la inflación</w:t>
      </w:r>
      <w:r w:rsidRPr="005B3EAC">
        <w:rPr>
          <w:rFonts w:ascii="Cambria" w:eastAsia="Arial Unicode MS" w:hAnsi="Cambria" w:cs="Arial"/>
          <w:bCs/>
          <w:sz w:val="24"/>
          <w:szCs w:val="24"/>
          <w:bdr w:val="nil"/>
        </w:rPr>
        <w:t>,</w:t>
      </w:r>
      <w:r w:rsidR="00747453" w:rsidRPr="005B3EAC">
        <w:rPr>
          <w:rFonts w:ascii="Cambria" w:eastAsia="Arial Unicode MS" w:hAnsi="Cambria" w:cs="Arial"/>
          <w:bCs/>
          <w:sz w:val="24"/>
          <w:szCs w:val="24"/>
          <w:bdr w:val="nil"/>
        </w:rPr>
        <w:t xml:space="preserve"> y a partir del </w:t>
      </w:r>
      <w:r w:rsidR="001B76E8" w:rsidRPr="005B3EAC">
        <w:rPr>
          <w:rFonts w:ascii="Cambria" w:eastAsia="Arial Unicode MS" w:hAnsi="Cambria" w:cs="Arial"/>
          <w:bCs/>
          <w:sz w:val="24"/>
          <w:szCs w:val="24"/>
          <w:bdr w:val="nil"/>
        </w:rPr>
        <w:t xml:space="preserve">año </w:t>
      </w:r>
      <w:r w:rsidR="00747453" w:rsidRPr="005B3EAC">
        <w:rPr>
          <w:rFonts w:ascii="Cambria" w:eastAsia="Arial Unicode MS" w:hAnsi="Cambria" w:cs="Arial"/>
          <w:bCs/>
          <w:sz w:val="24"/>
          <w:szCs w:val="24"/>
          <w:bdr w:val="nil"/>
        </w:rPr>
        <w:t xml:space="preserve">2020 el precio de la gasolina se establecería a precio libre, de conformidad a las condiciones de mercado, aunado </w:t>
      </w:r>
      <w:r w:rsidR="00A4641F" w:rsidRPr="005B3EAC">
        <w:rPr>
          <w:rFonts w:ascii="Cambria" w:eastAsia="Arial Unicode MS" w:hAnsi="Cambria" w:cs="Arial"/>
          <w:bCs/>
          <w:sz w:val="24"/>
          <w:szCs w:val="24"/>
          <w:bdr w:val="nil"/>
        </w:rPr>
        <w:t xml:space="preserve">a </w:t>
      </w:r>
      <w:r w:rsidR="00747453" w:rsidRPr="005B3EAC">
        <w:rPr>
          <w:rFonts w:ascii="Cambria" w:eastAsia="Arial Unicode MS" w:hAnsi="Cambria" w:cs="Arial"/>
          <w:bCs/>
          <w:sz w:val="24"/>
          <w:szCs w:val="24"/>
          <w:bdr w:val="nil"/>
        </w:rPr>
        <w:t>que a partir del</w:t>
      </w:r>
      <w:r w:rsidR="001B76E8" w:rsidRPr="005B3EAC">
        <w:rPr>
          <w:rFonts w:ascii="Cambria" w:eastAsia="Arial Unicode MS" w:hAnsi="Cambria" w:cs="Arial"/>
          <w:bCs/>
          <w:sz w:val="24"/>
          <w:szCs w:val="24"/>
          <w:bdr w:val="nil"/>
        </w:rPr>
        <w:t xml:space="preserve"> año</w:t>
      </w:r>
      <w:r w:rsidR="00747453" w:rsidRPr="005B3EAC">
        <w:rPr>
          <w:rFonts w:ascii="Cambria" w:eastAsia="Arial Unicode MS" w:hAnsi="Cambria" w:cs="Arial"/>
          <w:bCs/>
          <w:sz w:val="24"/>
          <w:szCs w:val="24"/>
          <w:bdr w:val="nil"/>
        </w:rPr>
        <w:t xml:space="preserve"> 2019 se generaría una importación libre, que implicaría la baja de precios por la libre competencia</w:t>
      </w:r>
      <w:r w:rsidRPr="005B3EAC">
        <w:rPr>
          <w:rFonts w:ascii="Cambria" w:eastAsia="Arial Unicode MS" w:hAnsi="Cambria" w:cs="Arial"/>
          <w:bCs/>
          <w:sz w:val="24"/>
          <w:szCs w:val="24"/>
          <w:bdr w:val="nil"/>
        </w:rPr>
        <w:t>, a partir de ese año</w:t>
      </w:r>
      <w:r w:rsidR="00747453" w:rsidRPr="005B3EAC">
        <w:rPr>
          <w:rFonts w:ascii="Cambria" w:eastAsia="Arial Unicode MS" w:hAnsi="Cambria" w:cs="Arial"/>
          <w:bCs/>
          <w:sz w:val="24"/>
          <w:szCs w:val="24"/>
          <w:bdr w:val="nil"/>
        </w:rPr>
        <w:t xml:space="preserve">. </w:t>
      </w:r>
    </w:p>
    <w:p w14:paraId="2A2F0254" w14:textId="77777777" w:rsidR="009F6BD7" w:rsidRPr="005B3EAC" w:rsidRDefault="009F6BD7"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p>
    <w:p w14:paraId="68792615" w14:textId="77777777" w:rsidR="00747453" w:rsidRPr="005B3EAC" w:rsidRDefault="00747453"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p>
    <w:p w14:paraId="0AB6DE1B" w14:textId="77777777" w:rsidR="000C0890" w:rsidRPr="005B3EAC" w:rsidRDefault="000C089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Sin embargo </w:t>
      </w:r>
      <w:r w:rsidR="00A916F5" w:rsidRPr="005B3EAC">
        <w:rPr>
          <w:rFonts w:ascii="Cambria" w:eastAsia="Arial Unicode MS" w:hAnsi="Cambria" w:cs="Arial"/>
          <w:bCs/>
          <w:sz w:val="24"/>
          <w:szCs w:val="24"/>
          <w:bdr w:val="nil"/>
        </w:rPr>
        <w:t>la reforma energética de México encuentra desafíos ante un nuevo régimen</w:t>
      </w:r>
      <w:r w:rsidR="006F7816" w:rsidRPr="005B3EAC">
        <w:rPr>
          <w:rFonts w:ascii="Cambria" w:eastAsia="Arial Unicode MS" w:hAnsi="Cambria" w:cs="Arial"/>
          <w:bCs/>
          <w:sz w:val="24"/>
          <w:szCs w:val="24"/>
          <w:bdr w:val="nil"/>
        </w:rPr>
        <w:t>, t</w:t>
      </w:r>
      <w:r w:rsidRPr="005B3EAC">
        <w:rPr>
          <w:rFonts w:ascii="Cambria" w:eastAsia="Arial Unicode MS" w:hAnsi="Cambria" w:cs="Arial"/>
          <w:bCs/>
          <w:sz w:val="24"/>
          <w:szCs w:val="24"/>
          <w:bdr w:val="nil"/>
        </w:rPr>
        <w:t>ras ganar las elecci</w:t>
      </w:r>
      <w:r w:rsidR="00A916F5" w:rsidRPr="005B3EAC">
        <w:rPr>
          <w:rFonts w:ascii="Cambria" w:eastAsia="Arial Unicode MS" w:hAnsi="Cambria" w:cs="Arial"/>
          <w:bCs/>
          <w:sz w:val="24"/>
          <w:szCs w:val="24"/>
          <w:bdr w:val="nil"/>
        </w:rPr>
        <w:t xml:space="preserve">ones presidenciales de 2018, </w:t>
      </w:r>
      <w:r w:rsidRPr="005B3EAC">
        <w:rPr>
          <w:rFonts w:ascii="Cambria" w:eastAsia="Arial Unicode MS" w:hAnsi="Cambria" w:cs="Arial"/>
          <w:bCs/>
          <w:sz w:val="24"/>
          <w:szCs w:val="24"/>
          <w:bdr w:val="nil"/>
        </w:rPr>
        <w:t>López Obrador se comprometió a no cambiar hasta el 2021 la legislación que rige la reforma energética, a pesar de su histórica oposición a la privatización del sector petrolero.</w:t>
      </w:r>
    </w:p>
    <w:p w14:paraId="7EDBCDE2" w14:textId="77777777" w:rsidR="001B76E8" w:rsidRPr="005B3EAC" w:rsidRDefault="001B76E8"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2473698F" w14:textId="77777777" w:rsidR="000C0890" w:rsidRPr="005B3EAC" w:rsidRDefault="000C089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A lo largo del 2019, el silencio de la nueva administración con respecto a la liberalización del sector de los combustibles fue interpretado por muchos como una aceptación tácita de la participación privada en el sector.</w:t>
      </w:r>
    </w:p>
    <w:p w14:paraId="7AA54BD1" w14:textId="77777777" w:rsidR="006F7816" w:rsidRPr="005B3EAC" w:rsidRDefault="006F7816"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3EB626B0" w14:textId="7C28ACB5" w:rsidR="006C40F0" w:rsidRPr="005B3EAC" w:rsidRDefault="000C089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Sin embargo, mientras que el sector de los combustibles permaneció inicialmente intacto, la administración suspendió las subastas de exploración y producción de petróleo y de energías renovables, así como </w:t>
      </w:r>
      <w:r w:rsidR="001B76E8" w:rsidRPr="005B3EAC">
        <w:rPr>
          <w:rFonts w:ascii="Cambria" w:eastAsia="Arial Unicode MS" w:hAnsi="Cambria" w:cs="Arial"/>
          <w:bCs/>
          <w:sz w:val="24"/>
          <w:szCs w:val="24"/>
          <w:bdr w:val="nil"/>
        </w:rPr>
        <w:t xml:space="preserve">los </w:t>
      </w:r>
      <w:r w:rsidR="006C40F0" w:rsidRPr="005B3EAC">
        <w:rPr>
          <w:rFonts w:ascii="Cambria" w:eastAsia="Arial Unicode MS" w:hAnsi="Cambria" w:cs="Arial"/>
          <w:bCs/>
          <w:sz w:val="24"/>
          <w:szCs w:val="24"/>
          <w:bdr w:val="nil"/>
        </w:rPr>
        <w:t>“</w:t>
      </w:r>
      <w:proofErr w:type="spellStart"/>
      <w:r w:rsidR="00BE0E04" w:rsidRPr="005B3EAC">
        <w:rPr>
          <w:rFonts w:ascii="Cambria" w:eastAsia="Arial Unicode MS" w:hAnsi="Cambria" w:cs="Arial"/>
          <w:b/>
          <w:bCs/>
          <w:sz w:val="24"/>
          <w:szCs w:val="24"/>
          <w:bdr w:val="nil"/>
        </w:rPr>
        <w:t>F</w:t>
      </w:r>
      <w:r w:rsidRPr="005B3EAC">
        <w:rPr>
          <w:rFonts w:ascii="Cambria" w:eastAsia="Arial Unicode MS" w:hAnsi="Cambria" w:cs="Arial"/>
          <w:b/>
          <w:bCs/>
          <w:sz w:val="24"/>
          <w:szCs w:val="24"/>
          <w:bdr w:val="nil"/>
        </w:rPr>
        <w:t>arm</w:t>
      </w:r>
      <w:r w:rsidR="001B76E8" w:rsidRPr="005B3EAC">
        <w:rPr>
          <w:rFonts w:ascii="Cambria" w:eastAsia="Arial Unicode MS" w:hAnsi="Cambria" w:cs="Arial"/>
          <w:b/>
          <w:bCs/>
          <w:sz w:val="24"/>
          <w:szCs w:val="24"/>
          <w:bdr w:val="nil"/>
        </w:rPr>
        <w:t>-</w:t>
      </w:r>
      <w:r w:rsidRPr="005B3EAC">
        <w:rPr>
          <w:rFonts w:ascii="Cambria" w:eastAsia="Arial Unicode MS" w:hAnsi="Cambria" w:cs="Arial"/>
          <w:b/>
          <w:bCs/>
          <w:sz w:val="24"/>
          <w:szCs w:val="24"/>
          <w:bdr w:val="nil"/>
        </w:rPr>
        <w:t>outs</w:t>
      </w:r>
      <w:proofErr w:type="spellEnd"/>
      <w:r w:rsidR="006C40F0" w:rsidRPr="005B3EAC">
        <w:rPr>
          <w:rFonts w:ascii="Cambria" w:eastAsia="Arial Unicode MS" w:hAnsi="Cambria" w:cs="Arial"/>
          <w:bCs/>
          <w:sz w:val="24"/>
          <w:szCs w:val="24"/>
          <w:bdr w:val="nil"/>
        </w:rPr>
        <w:t>” de Pemex, que eran</w:t>
      </w:r>
      <w:r w:rsidR="006C40F0" w:rsidRPr="005B3EAC">
        <w:rPr>
          <w:rFonts w:ascii="Cambria" w:eastAsia="Arial Unicode MS" w:hAnsi="Cambria" w:cs="Arial"/>
          <w:b/>
          <w:bCs/>
          <w:sz w:val="24"/>
          <w:szCs w:val="24"/>
          <w:bdr w:val="nil"/>
        </w:rPr>
        <w:t xml:space="preserve"> asociaciones estratégicas entre dos o más empresas</w:t>
      </w:r>
      <w:r w:rsidR="00BE0E04" w:rsidRPr="005B3EAC">
        <w:rPr>
          <w:rFonts w:ascii="Cambria" w:eastAsia="Arial Unicode MS" w:hAnsi="Cambria" w:cs="Arial"/>
          <w:bCs/>
          <w:sz w:val="24"/>
          <w:szCs w:val="24"/>
          <w:bdr w:val="nil"/>
        </w:rPr>
        <w:t xml:space="preserve">, y </w:t>
      </w:r>
      <w:r w:rsidR="006C40F0" w:rsidRPr="005B3EAC">
        <w:rPr>
          <w:rFonts w:ascii="Cambria" w:eastAsia="Arial Unicode MS" w:hAnsi="Cambria" w:cs="Arial"/>
          <w:bCs/>
          <w:sz w:val="24"/>
          <w:szCs w:val="24"/>
          <w:bdr w:val="nil"/>
        </w:rPr>
        <w:t xml:space="preserve">eran una forma de </w:t>
      </w:r>
      <w:r w:rsidR="006C40F0" w:rsidRPr="005B3EAC">
        <w:rPr>
          <w:rFonts w:ascii="Cambria" w:eastAsia="Arial Unicode MS" w:hAnsi="Cambria" w:cs="Arial"/>
          <w:b/>
          <w:bCs/>
          <w:sz w:val="24"/>
          <w:szCs w:val="24"/>
          <w:bdr w:val="nil"/>
        </w:rPr>
        <w:t>capitalizar a Pemex</w:t>
      </w:r>
      <w:r w:rsidR="006C40F0" w:rsidRPr="005B3EAC">
        <w:rPr>
          <w:rFonts w:ascii="Cambria" w:eastAsia="Arial Unicode MS" w:hAnsi="Cambria" w:cs="Arial"/>
          <w:bCs/>
          <w:sz w:val="24"/>
          <w:szCs w:val="24"/>
          <w:bdr w:val="nil"/>
        </w:rPr>
        <w:t> y así emprender nuevos proyectos de exploración y explotación que por sí misma no podía realizar. Así, de la mano de la iniciativa privada se adquirían los</w:t>
      </w:r>
      <w:r w:rsidR="006C40F0" w:rsidRPr="005B3EAC">
        <w:rPr>
          <w:rFonts w:ascii="Cambria" w:eastAsia="Arial Unicode MS" w:hAnsi="Cambria" w:cs="Arial"/>
          <w:b/>
          <w:bCs/>
          <w:sz w:val="24"/>
          <w:szCs w:val="24"/>
          <w:bdr w:val="nil"/>
        </w:rPr>
        <w:t> recursos para realizar estos objetivos, a cambio de compartir derechos de explotación</w:t>
      </w:r>
      <w:r w:rsidR="006C40F0" w:rsidRPr="005B3EAC">
        <w:rPr>
          <w:rFonts w:ascii="Cambria" w:eastAsia="Arial Unicode MS" w:hAnsi="Cambria" w:cs="Arial"/>
          <w:bCs/>
          <w:sz w:val="24"/>
          <w:szCs w:val="24"/>
          <w:bdr w:val="nil"/>
        </w:rPr>
        <w:t>. Esto ayudaría a revertir la tendencia negativa de la petrolera y tal vez también a atraer nuevos inversionistas. Por lo menos estas eran las intenciones de la reforma energética del expresidente </w:t>
      </w:r>
      <w:r w:rsidR="006C40F0" w:rsidRPr="005B3EAC">
        <w:rPr>
          <w:rFonts w:ascii="Cambria" w:eastAsia="Arial Unicode MS" w:hAnsi="Cambria" w:cs="Arial"/>
          <w:b/>
          <w:bCs/>
          <w:sz w:val="24"/>
          <w:szCs w:val="24"/>
          <w:bdr w:val="nil"/>
        </w:rPr>
        <w:t>Peña Nieto</w:t>
      </w:r>
      <w:r w:rsidR="006C40F0" w:rsidRPr="005B3EAC">
        <w:rPr>
          <w:rFonts w:ascii="Cambria" w:eastAsia="Arial Unicode MS" w:hAnsi="Cambria" w:cs="Arial"/>
          <w:bCs/>
          <w:sz w:val="24"/>
          <w:szCs w:val="24"/>
          <w:bdr w:val="nil"/>
        </w:rPr>
        <w:t>.</w:t>
      </w:r>
    </w:p>
    <w:p w14:paraId="0127FE0D" w14:textId="6CF7115D" w:rsidR="006C40F0" w:rsidRPr="005B3EAC" w:rsidRDefault="006C40F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 </w:t>
      </w:r>
    </w:p>
    <w:p w14:paraId="325A8BF6" w14:textId="250451C8" w:rsidR="000C0890" w:rsidRPr="005B3EAC" w:rsidRDefault="000C089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También, la administración cambio las reglas para los Certificados de Energía Limpia, beneficiando a la estatal CFE y desincentivando la inversión privada en proyectos de energía renovable. Adicionalmente, solicitó un arbitraje internacional para los contratos de capacidad a largo plazo de la CFE en nuevos gasoductos privados.</w:t>
      </w:r>
    </w:p>
    <w:p w14:paraId="51765B0D" w14:textId="77777777" w:rsidR="001B76E8" w:rsidRPr="005B3EAC" w:rsidRDefault="001B76E8"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6FB73C42" w14:textId="0D2489AD" w:rsidR="001B76E8" w:rsidRPr="005B3EAC" w:rsidRDefault="001B76E8" w:rsidP="001B76E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lastRenderedPageBreak/>
        <w:t>El presidente de México, </w:t>
      </w:r>
      <w:r w:rsidRPr="005B3EAC">
        <w:rPr>
          <w:rFonts w:ascii="Cambria" w:eastAsia="Arial Unicode MS" w:hAnsi="Cambria" w:cs="Arial"/>
          <w:b/>
          <w:bCs/>
          <w:sz w:val="24"/>
          <w:szCs w:val="24"/>
          <w:bdr w:val="nil"/>
        </w:rPr>
        <w:t>Andrés Manuel López Obrador</w:t>
      </w:r>
      <w:r w:rsidRPr="005B3EAC">
        <w:rPr>
          <w:rFonts w:ascii="Cambria" w:eastAsia="Arial Unicode MS" w:hAnsi="Cambria" w:cs="Arial"/>
          <w:bCs/>
          <w:sz w:val="24"/>
          <w:szCs w:val="24"/>
          <w:bdr w:val="nil"/>
        </w:rPr>
        <w:t>, ha </w:t>
      </w:r>
      <w:r w:rsidRPr="005B3EAC">
        <w:rPr>
          <w:rFonts w:ascii="Cambria" w:eastAsia="Arial Unicode MS" w:hAnsi="Cambria" w:cs="Arial"/>
          <w:b/>
          <w:bCs/>
          <w:sz w:val="24"/>
          <w:szCs w:val="24"/>
          <w:bdr w:val="nil"/>
        </w:rPr>
        <w:t>cancelado las licitaciones de 100 contratos</w:t>
      </w:r>
      <w:r w:rsidRPr="005B3EAC">
        <w:rPr>
          <w:rFonts w:ascii="Cambria" w:eastAsia="Arial Unicode MS" w:hAnsi="Cambria" w:cs="Arial"/>
          <w:bCs/>
          <w:sz w:val="24"/>
          <w:szCs w:val="24"/>
          <w:bdr w:val="nil"/>
        </w:rPr>
        <w:t xml:space="preserve"> derivados de la reforma energética del expresidente Enrique Peña Nieto. </w:t>
      </w:r>
    </w:p>
    <w:p w14:paraId="56B819BB" w14:textId="07838AC7" w:rsidR="006F7816" w:rsidRPr="005B3EAC" w:rsidRDefault="006F7816"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6FC01211" w14:textId="0CB235F0" w:rsidR="000C0890" w:rsidRPr="005B3EAC" w:rsidRDefault="006C40F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En el presente año ha sido </w:t>
      </w:r>
      <w:r w:rsidR="000C0890" w:rsidRPr="005B3EAC">
        <w:rPr>
          <w:rFonts w:ascii="Cambria" w:eastAsia="Arial Unicode MS" w:hAnsi="Cambria" w:cs="Arial"/>
          <w:bCs/>
          <w:sz w:val="24"/>
          <w:szCs w:val="24"/>
          <w:bdr w:val="nil"/>
        </w:rPr>
        <w:t>crítico</w:t>
      </w:r>
      <w:r w:rsidRPr="005B3EAC">
        <w:rPr>
          <w:rFonts w:ascii="Cambria" w:eastAsia="Arial Unicode MS" w:hAnsi="Cambria" w:cs="Arial"/>
          <w:bCs/>
          <w:sz w:val="24"/>
          <w:szCs w:val="24"/>
          <w:bdr w:val="nil"/>
        </w:rPr>
        <w:t xml:space="preserve">, en el que vemos </w:t>
      </w:r>
      <w:r w:rsidR="000C0890" w:rsidRPr="005B3EAC">
        <w:rPr>
          <w:rFonts w:ascii="Cambria" w:eastAsia="Arial Unicode MS" w:hAnsi="Cambria" w:cs="Arial"/>
          <w:bCs/>
          <w:sz w:val="24"/>
          <w:szCs w:val="24"/>
          <w:bdr w:val="nil"/>
        </w:rPr>
        <w:t>los reguladores y autoridades del sector energético continúan suspendiendo regulaciones y políticas p</w:t>
      </w:r>
      <w:r w:rsidRPr="005B3EAC">
        <w:rPr>
          <w:rFonts w:ascii="Cambria" w:eastAsia="Arial Unicode MS" w:hAnsi="Cambria" w:cs="Arial"/>
          <w:bCs/>
          <w:sz w:val="24"/>
          <w:szCs w:val="24"/>
          <w:bdr w:val="nil"/>
        </w:rPr>
        <w:t xml:space="preserve">úblicas para beneficiar a PEMEX y CFE. </w:t>
      </w:r>
    </w:p>
    <w:p w14:paraId="0CC21527" w14:textId="77777777" w:rsidR="006C40F0" w:rsidRPr="005B3EAC" w:rsidRDefault="006C40F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36820F09" w14:textId="0D205F21" w:rsidR="000C0890" w:rsidRPr="005B3EAC" w:rsidRDefault="000C089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Los participantes en el mercado han manifestado a OPIS </w:t>
      </w:r>
      <w:r w:rsidR="00A916F5" w:rsidRPr="005B3EAC">
        <w:rPr>
          <w:rFonts w:ascii="Cambria" w:eastAsia="Arial Unicode MS" w:hAnsi="Cambria" w:cs="Arial"/>
          <w:bCs/>
          <w:sz w:val="24"/>
          <w:szCs w:val="24"/>
          <w:bdr w:val="nil"/>
        </w:rPr>
        <w:t>(</w:t>
      </w:r>
      <w:proofErr w:type="spellStart"/>
      <w:r w:rsidR="00A916F5" w:rsidRPr="005B3EAC">
        <w:rPr>
          <w:rFonts w:ascii="Cambria" w:eastAsia="Arial Unicode MS" w:hAnsi="Cambria" w:cs="Arial"/>
          <w:bCs/>
          <w:sz w:val="24"/>
          <w:szCs w:val="24"/>
          <w:bdr w:val="nil"/>
        </w:rPr>
        <w:t>Oil</w:t>
      </w:r>
      <w:proofErr w:type="spellEnd"/>
      <w:r w:rsidR="00A916F5" w:rsidRPr="005B3EAC">
        <w:rPr>
          <w:rFonts w:ascii="Cambria" w:eastAsia="Arial Unicode MS" w:hAnsi="Cambria" w:cs="Arial"/>
          <w:bCs/>
          <w:sz w:val="24"/>
          <w:szCs w:val="24"/>
          <w:bdr w:val="nil"/>
        </w:rPr>
        <w:t xml:space="preserve"> Price </w:t>
      </w:r>
      <w:proofErr w:type="spellStart"/>
      <w:r w:rsidR="00A916F5" w:rsidRPr="005B3EAC">
        <w:rPr>
          <w:rFonts w:ascii="Cambria" w:eastAsia="Arial Unicode MS" w:hAnsi="Cambria" w:cs="Arial"/>
          <w:bCs/>
          <w:sz w:val="24"/>
          <w:szCs w:val="24"/>
          <w:bdr w:val="nil"/>
        </w:rPr>
        <w:t>Information</w:t>
      </w:r>
      <w:proofErr w:type="spellEnd"/>
      <w:r w:rsidR="00A916F5" w:rsidRPr="005B3EAC">
        <w:rPr>
          <w:rFonts w:ascii="Cambria" w:eastAsia="Arial Unicode MS" w:hAnsi="Cambria" w:cs="Arial"/>
          <w:bCs/>
          <w:sz w:val="24"/>
          <w:szCs w:val="24"/>
          <w:bdr w:val="nil"/>
        </w:rPr>
        <w:t xml:space="preserve"> </w:t>
      </w:r>
      <w:proofErr w:type="spellStart"/>
      <w:r w:rsidR="00A916F5" w:rsidRPr="005B3EAC">
        <w:rPr>
          <w:rFonts w:ascii="Cambria" w:eastAsia="Arial Unicode MS" w:hAnsi="Cambria" w:cs="Arial"/>
          <w:bCs/>
          <w:sz w:val="24"/>
          <w:szCs w:val="24"/>
          <w:bdr w:val="nil"/>
        </w:rPr>
        <w:t>Service</w:t>
      </w:r>
      <w:proofErr w:type="spellEnd"/>
      <w:r w:rsidR="00A916F5" w:rsidRPr="005B3EAC">
        <w:rPr>
          <w:rFonts w:ascii="Cambria" w:eastAsia="Arial Unicode MS" w:hAnsi="Cambria" w:cs="Arial"/>
          <w:bCs/>
          <w:sz w:val="24"/>
          <w:szCs w:val="24"/>
          <w:bdr w:val="nil"/>
        </w:rPr>
        <w:t xml:space="preserve">) </w:t>
      </w:r>
      <w:r w:rsidRPr="005B3EAC">
        <w:rPr>
          <w:rFonts w:ascii="Cambria" w:eastAsia="Arial Unicode MS" w:hAnsi="Cambria" w:cs="Arial"/>
          <w:bCs/>
          <w:sz w:val="24"/>
          <w:szCs w:val="24"/>
          <w:bdr w:val="nil"/>
        </w:rPr>
        <w:t>su preocupación de que la</w:t>
      </w:r>
      <w:r w:rsidR="006C40F0" w:rsidRPr="005B3EAC">
        <w:rPr>
          <w:rFonts w:ascii="Cambria" w:eastAsia="Arial Unicode MS" w:hAnsi="Cambria" w:cs="Arial"/>
          <w:bCs/>
          <w:sz w:val="24"/>
          <w:szCs w:val="24"/>
          <w:bdr w:val="nil"/>
        </w:rPr>
        <w:t xml:space="preserve"> Comisión Reguladora de Energía</w:t>
      </w:r>
      <w:r w:rsidRPr="005B3EAC">
        <w:rPr>
          <w:rFonts w:ascii="Cambria" w:eastAsia="Arial Unicode MS" w:hAnsi="Cambria" w:cs="Arial"/>
          <w:bCs/>
          <w:sz w:val="24"/>
          <w:szCs w:val="24"/>
          <w:bdr w:val="nil"/>
        </w:rPr>
        <w:t xml:space="preserve"> </w:t>
      </w:r>
      <w:r w:rsidR="006C40F0" w:rsidRPr="005B3EAC">
        <w:rPr>
          <w:rFonts w:ascii="Cambria" w:eastAsia="Arial Unicode MS" w:hAnsi="Cambria" w:cs="Arial"/>
          <w:bCs/>
          <w:sz w:val="24"/>
          <w:szCs w:val="24"/>
          <w:bdr w:val="nil"/>
        </w:rPr>
        <w:t>(</w:t>
      </w:r>
      <w:r w:rsidRPr="005B3EAC">
        <w:rPr>
          <w:rFonts w:ascii="Cambria" w:eastAsia="Arial Unicode MS" w:hAnsi="Cambria" w:cs="Arial"/>
          <w:bCs/>
          <w:sz w:val="24"/>
          <w:szCs w:val="24"/>
          <w:bdr w:val="nil"/>
        </w:rPr>
        <w:t>CRE</w:t>
      </w:r>
      <w:r w:rsidR="006C40F0" w:rsidRPr="005B3EAC">
        <w:rPr>
          <w:rFonts w:ascii="Cambria" w:eastAsia="Arial Unicode MS" w:hAnsi="Cambria" w:cs="Arial"/>
          <w:bCs/>
          <w:sz w:val="24"/>
          <w:szCs w:val="24"/>
          <w:bdr w:val="nil"/>
        </w:rPr>
        <w:t>)</w:t>
      </w:r>
      <w:r w:rsidRPr="005B3EAC">
        <w:rPr>
          <w:rFonts w:ascii="Cambria" w:eastAsia="Arial Unicode MS" w:hAnsi="Cambria" w:cs="Arial"/>
          <w:bCs/>
          <w:sz w:val="24"/>
          <w:szCs w:val="24"/>
          <w:bdr w:val="nil"/>
        </w:rPr>
        <w:t xml:space="preserve"> </w:t>
      </w:r>
      <w:r w:rsidR="006C40F0" w:rsidRPr="005B3EAC">
        <w:rPr>
          <w:rFonts w:ascii="Cambria" w:eastAsia="Arial Unicode MS" w:hAnsi="Cambria" w:cs="Arial"/>
          <w:bCs/>
          <w:sz w:val="24"/>
          <w:szCs w:val="24"/>
          <w:bdr w:val="nil"/>
        </w:rPr>
        <w:t>está</w:t>
      </w:r>
      <w:r w:rsidRPr="005B3EAC">
        <w:rPr>
          <w:rFonts w:ascii="Cambria" w:eastAsia="Arial Unicode MS" w:hAnsi="Cambria" w:cs="Arial"/>
          <w:bCs/>
          <w:sz w:val="24"/>
          <w:szCs w:val="24"/>
          <w:bdr w:val="nil"/>
        </w:rPr>
        <w:t xml:space="preserve"> comenzando a favorecer a Pemex por encima de otros participantes al momento de aprobar los nuevos permisos.</w:t>
      </w:r>
    </w:p>
    <w:p w14:paraId="2DEE2445" w14:textId="77777777" w:rsidR="006C40F0" w:rsidRPr="005B3EAC" w:rsidRDefault="006C40F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3687A5A9" w14:textId="1E14036F" w:rsidR="000C0890" w:rsidRPr="005B3EAC" w:rsidRDefault="000C089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En su última reunión de diciembre, el ente regulador aprobó sólo los permisos de venta al por menor relacionados con empresas estatales, a pesar del gran cuello de botella de solicitudes de permisos en ese momento.</w:t>
      </w:r>
      <w:r w:rsidR="006F7816" w:rsidRPr="005B3EAC">
        <w:rPr>
          <w:rFonts w:ascii="Cambria" w:eastAsia="Arial Unicode MS" w:hAnsi="Cambria" w:cs="Arial"/>
          <w:bCs/>
          <w:sz w:val="24"/>
          <w:szCs w:val="24"/>
          <w:bdr w:val="nil"/>
        </w:rPr>
        <w:t xml:space="preserve"> </w:t>
      </w:r>
      <w:r w:rsidRPr="005B3EAC">
        <w:rPr>
          <w:rFonts w:ascii="Cambria" w:eastAsia="Arial Unicode MS" w:hAnsi="Cambria" w:cs="Arial"/>
          <w:bCs/>
          <w:sz w:val="24"/>
          <w:szCs w:val="24"/>
          <w:bdr w:val="nil"/>
        </w:rPr>
        <w:t xml:space="preserve">El mercado </w:t>
      </w:r>
      <w:r w:rsidR="006C40F0" w:rsidRPr="005B3EAC">
        <w:rPr>
          <w:rFonts w:ascii="Cambria" w:eastAsia="Arial Unicode MS" w:hAnsi="Cambria" w:cs="Arial"/>
          <w:bCs/>
          <w:sz w:val="24"/>
          <w:szCs w:val="24"/>
          <w:bdr w:val="nil"/>
        </w:rPr>
        <w:t xml:space="preserve">de las energías e hidrocarburos </w:t>
      </w:r>
      <w:r w:rsidRPr="005B3EAC">
        <w:rPr>
          <w:rFonts w:ascii="Cambria" w:eastAsia="Arial Unicode MS" w:hAnsi="Cambria" w:cs="Arial"/>
          <w:bCs/>
          <w:sz w:val="24"/>
          <w:szCs w:val="24"/>
          <w:bdr w:val="nil"/>
        </w:rPr>
        <w:t xml:space="preserve">en evolución en México es una historia </w:t>
      </w:r>
      <w:r w:rsidR="006F7816" w:rsidRPr="005B3EAC">
        <w:rPr>
          <w:rFonts w:ascii="Cambria" w:eastAsia="Arial Unicode MS" w:hAnsi="Cambria" w:cs="Arial"/>
          <w:bCs/>
          <w:sz w:val="24"/>
          <w:szCs w:val="24"/>
          <w:bdr w:val="nil"/>
        </w:rPr>
        <w:t xml:space="preserve">que continuará desarrollándose, lo que genera demasiada incertidumbre, sobre todo en la iniciativa privada, por los riesgos de inversión. </w:t>
      </w:r>
    </w:p>
    <w:p w14:paraId="0CEB12A0" w14:textId="77777777" w:rsidR="000C0890" w:rsidRPr="005B3EAC" w:rsidRDefault="000C0890"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31362984" w14:textId="77777777" w:rsidR="006E4091" w:rsidRPr="005B3EAC" w:rsidRDefault="006F7816"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r w:rsidRPr="005B3EAC">
        <w:rPr>
          <w:rFonts w:ascii="Cambria" w:eastAsia="Arial Unicode MS" w:hAnsi="Cambria" w:cs="Arial"/>
          <w:b/>
          <w:bCs/>
          <w:sz w:val="24"/>
          <w:szCs w:val="24"/>
          <w:bdr w:val="nil"/>
        </w:rPr>
        <w:t xml:space="preserve">II.- </w:t>
      </w:r>
      <w:r w:rsidR="006E4091" w:rsidRPr="005B3EAC">
        <w:rPr>
          <w:rFonts w:ascii="Cambria" w:eastAsia="Arial Unicode MS" w:hAnsi="Cambria" w:cs="Arial"/>
          <w:sz w:val="24"/>
          <w:szCs w:val="24"/>
          <w:bdr w:val="nil"/>
          <w:lang w:val="es-ES"/>
        </w:rPr>
        <w:t>Toda vez que el día 23 de Julio del año 2019, mediante el punto número 3 tres, celebrado en la Sesión Pública Extraordinaria número 21 veintiuno se aprobó la Iniciativa de decreto aprobatorio del</w:t>
      </w:r>
      <w:r w:rsidR="006E4091" w:rsidRPr="005B3EAC">
        <w:rPr>
          <w:rFonts w:ascii="Cambria" w:eastAsia="Arial Unicode MS" w:hAnsi="Cambria" w:cs="Arial"/>
          <w:b/>
          <w:sz w:val="24"/>
          <w:szCs w:val="24"/>
          <w:bdr w:val="nil"/>
          <w:lang w:val="es-ES"/>
        </w:rPr>
        <w:t xml:space="preserve"> “PROYECTO DE EFICIENCIA ENÉRGETICA Y MEJORA DEL SERVICIO DE ALUMBRADO PÚBLICO EN EL MUNICIPIO DE ZAPOTLÁN EL GRANDE, JALISCO”, </w:t>
      </w:r>
      <w:r w:rsidR="006E4091" w:rsidRPr="005B3EAC">
        <w:rPr>
          <w:rFonts w:ascii="Cambria" w:eastAsia="Arial Unicode MS" w:hAnsi="Cambria" w:cs="Arial"/>
          <w:sz w:val="24"/>
          <w:szCs w:val="24"/>
          <w:bdr w:val="nil"/>
          <w:lang w:val="es-ES"/>
        </w:rPr>
        <w:t xml:space="preserve">bajo la modalidad de </w:t>
      </w:r>
      <w:r w:rsidR="006E4091" w:rsidRPr="005B3EAC">
        <w:rPr>
          <w:rFonts w:ascii="Cambria" w:eastAsia="Arial Unicode MS" w:hAnsi="Cambria" w:cs="Arial"/>
          <w:bCs/>
          <w:sz w:val="24"/>
          <w:szCs w:val="24"/>
          <w:bdr w:val="nil"/>
          <w:lang w:val="es-ES"/>
        </w:rPr>
        <w:t>Asociación Pública-Privada por esquema de concesión para la prestación del servicio de alumbrado público, incluyendo la sustitución de luminarias e infraestructura eléctrica, así como el mantenimiento en general, y de conformidad con la iniciativa modificatoria, celebrada en el punto número 3 tres de la orden del día de la Sesión Pública Extraordinaria número 33, celebrada el día 16 de Octubre del año 2019, se aprobó y se integró un expediente técnico, en conjunto con una evaluación socioeconómica, los cuales se enviaron al Congreso</w:t>
      </w:r>
      <w:r w:rsidRPr="005B3EAC">
        <w:rPr>
          <w:rFonts w:ascii="Cambria" w:eastAsia="Arial Unicode MS" w:hAnsi="Cambria" w:cs="Arial"/>
          <w:bCs/>
          <w:sz w:val="24"/>
          <w:szCs w:val="24"/>
          <w:bdr w:val="nil"/>
          <w:lang w:val="es-ES"/>
        </w:rPr>
        <w:t xml:space="preserve"> del Estado de Jalisco,</w:t>
      </w:r>
      <w:r w:rsidR="006E4091" w:rsidRPr="005B3EAC">
        <w:rPr>
          <w:rFonts w:ascii="Cambria" w:eastAsia="Arial Unicode MS" w:hAnsi="Cambria" w:cs="Arial"/>
          <w:bCs/>
          <w:sz w:val="24"/>
          <w:szCs w:val="24"/>
          <w:bdr w:val="nil"/>
          <w:lang w:val="es-ES"/>
        </w:rPr>
        <w:t xml:space="preserve"> para su revisión y autorización de conformidad con la </w:t>
      </w:r>
      <w:r w:rsidR="006E4091" w:rsidRPr="005B3EAC">
        <w:rPr>
          <w:rFonts w:ascii="Cambria" w:eastAsia="Arial Unicode MS" w:hAnsi="Cambria" w:cs="Arial"/>
          <w:bCs/>
          <w:i/>
          <w:sz w:val="24"/>
          <w:szCs w:val="24"/>
          <w:bdr w:val="nil"/>
        </w:rPr>
        <w:t>Ley de Proyectos de Inversión y de Prestación de Servicios del Estado de Jalisco y sus Municipios</w:t>
      </w:r>
      <w:r w:rsidR="006E4091" w:rsidRPr="005B3EAC">
        <w:rPr>
          <w:rFonts w:ascii="Cambria" w:eastAsia="Arial Unicode MS" w:hAnsi="Cambria" w:cs="Arial"/>
          <w:bCs/>
          <w:sz w:val="24"/>
          <w:szCs w:val="24"/>
          <w:bdr w:val="nil"/>
        </w:rPr>
        <w:t xml:space="preserve">, recibido en el Congreso del Estado de Jalisco, el día 01 Primero de Abril del año 2020 dos mil veinte. </w:t>
      </w:r>
    </w:p>
    <w:p w14:paraId="05E378EF" w14:textId="77777777" w:rsidR="006F7816" w:rsidRPr="005B3EAC" w:rsidRDefault="006F7816"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highlight w:val="cyan"/>
          <w:bdr w:val="nil"/>
        </w:rPr>
      </w:pPr>
    </w:p>
    <w:p w14:paraId="02A32359" w14:textId="77777777" w:rsidR="006F7816" w:rsidRPr="005B3EAC" w:rsidRDefault="006F7816"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En este sentido, </w:t>
      </w:r>
      <w:r w:rsidR="000454FB" w:rsidRPr="005B3EAC">
        <w:rPr>
          <w:rFonts w:ascii="Cambria" w:eastAsia="Arial Unicode MS" w:hAnsi="Cambria" w:cs="Arial"/>
          <w:bCs/>
          <w:sz w:val="24"/>
          <w:szCs w:val="24"/>
          <w:bdr w:val="nil"/>
        </w:rPr>
        <w:t xml:space="preserve">y en cuanto a las recomendaciones del </w:t>
      </w:r>
      <w:r w:rsidR="000454FB" w:rsidRPr="005B3EAC">
        <w:rPr>
          <w:rFonts w:ascii="Cambria" w:eastAsia="Arial Unicode MS" w:hAnsi="Cambria" w:cs="Arial"/>
          <w:b/>
          <w:bCs/>
          <w:sz w:val="24"/>
          <w:szCs w:val="24"/>
          <w:bdr w:val="nil"/>
        </w:rPr>
        <w:t>Banco Interamericano de Desarrollo (BID)</w:t>
      </w:r>
      <w:r w:rsidR="000454FB" w:rsidRPr="005B3EAC">
        <w:rPr>
          <w:rFonts w:ascii="Cambria" w:eastAsia="Arial Unicode MS" w:hAnsi="Cambria" w:cs="Arial"/>
          <w:bCs/>
          <w:sz w:val="24"/>
          <w:szCs w:val="24"/>
          <w:bdr w:val="nil"/>
        </w:rPr>
        <w:t xml:space="preserve"> determina que </w:t>
      </w:r>
      <w:r w:rsidRPr="005B3EAC">
        <w:rPr>
          <w:rFonts w:ascii="Cambria" w:eastAsia="Arial Unicode MS" w:hAnsi="Cambria" w:cs="Arial"/>
          <w:bCs/>
          <w:sz w:val="24"/>
          <w:szCs w:val="24"/>
          <w:bdr w:val="nil"/>
        </w:rPr>
        <w:t xml:space="preserve">las Asociaciones Público-Privadas (APP), </w:t>
      </w:r>
      <w:r w:rsidRPr="005B3EAC">
        <w:rPr>
          <w:rFonts w:ascii="Cambria" w:eastAsia="Arial Unicode MS" w:hAnsi="Cambria" w:cs="Arial"/>
          <w:b/>
          <w:bCs/>
          <w:sz w:val="24"/>
          <w:szCs w:val="24"/>
          <w:bdr w:val="nil"/>
        </w:rPr>
        <w:t xml:space="preserve">utilizadas de manera adecuada, </w:t>
      </w:r>
      <w:r w:rsidR="000454FB" w:rsidRPr="005B3EAC">
        <w:rPr>
          <w:rFonts w:ascii="Cambria" w:eastAsia="Arial Unicode MS" w:hAnsi="Cambria" w:cs="Arial"/>
          <w:b/>
          <w:bCs/>
          <w:sz w:val="24"/>
          <w:szCs w:val="24"/>
          <w:bdr w:val="nil"/>
        </w:rPr>
        <w:t>en un ambiente idóneo</w:t>
      </w:r>
      <w:r w:rsidR="004D14A3" w:rsidRPr="005B3EAC">
        <w:rPr>
          <w:rFonts w:ascii="Cambria" w:eastAsia="Arial Unicode MS" w:hAnsi="Cambria" w:cs="Arial"/>
          <w:b/>
          <w:bCs/>
          <w:sz w:val="24"/>
          <w:szCs w:val="24"/>
          <w:bdr w:val="nil"/>
        </w:rPr>
        <w:t>, con las políticas públicas adecuadas</w:t>
      </w:r>
      <w:r w:rsidR="000454FB" w:rsidRPr="005B3EAC">
        <w:rPr>
          <w:rFonts w:ascii="Cambria" w:eastAsia="Arial Unicode MS" w:hAnsi="Cambria" w:cs="Arial"/>
          <w:bCs/>
          <w:sz w:val="24"/>
          <w:szCs w:val="24"/>
          <w:bdr w:val="nil"/>
        </w:rPr>
        <w:t xml:space="preserve">, </w:t>
      </w:r>
      <w:r w:rsidRPr="005B3EAC">
        <w:rPr>
          <w:rFonts w:ascii="Cambria" w:eastAsia="Arial Unicode MS" w:hAnsi="Cambria" w:cs="Arial"/>
          <w:b/>
          <w:bCs/>
          <w:sz w:val="24"/>
          <w:szCs w:val="24"/>
          <w:bdr w:val="nil"/>
        </w:rPr>
        <w:t xml:space="preserve">constituyen una herramienta de provecho para el desarrollo de proyectos públicos de </w:t>
      </w:r>
      <w:r w:rsidRPr="005B3EAC">
        <w:rPr>
          <w:rFonts w:ascii="Cambria" w:eastAsia="Arial Unicode MS" w:hAnsi="Cambria" w:cs="Arial"/>
          <w:b/>
          <w:bCs/>
          <w:i/>
          <w:iCs/>
          <w:sz w:val="24"/>
          <w:szCs w:val="24"/>
          <w:bdr w:val="nil"/>
        </w:rPr>
        <w:t>infraestructura</w:t>
      </w:r>
      <w:r w:rsidRPr="005B3EAC">
        <w:rPr>
          <w:rFonts w:ascii="Cambria" w:eastAsia="Arial Unicode MS" w:hAnsi="Cambria" w:cs="Arial"/>
          <w:b/>
          <w:bCs/>
          <w:sz w:val="24"/>
          <w:szCs w:val="24"/>
          <w:bdr w:val="nil"/>
        </w:rPr>
        <w:t xml:space="preserve"> y </w:t>
      </w:r>
      <w:r w:rsidRPr="005B3EAC">
        <w:rPr>
          <w:rFonts w:ascii="Cambria" w:eastAsia="Arial Unicode MS" w:hAnsi="Cambria" w:cs="Arial"/>
          <w:b/>
          <w:bCs/>
          <w:i/>
          <w:iCs/>
          <w:sz w:val="24"/>
          <w:szCs w:val="24"/>
          <w:bdr w:val="nil"/>
        </w:rPr>
        <w:t>servicios básicos</w:t>
      </w:r>
      <w:r w:rsidRPr="005B3EAC">
        <w:rPr>
          <w:rFonts w:ascii="Cambria" w:eastAsia="Arial Unicode MS" w:hAnsi="Cambria" w:cs="Arial"/>
          <w:bCs/>
          <w:i/>
          <w:iCs/>
          <w:sz w:val="24"/>
          <w:szCs w:val="24"/>
          <w:bdr w:val="nil"/>
        </w:rPr>
        <w:t xml:space="preserve"> </w:t>
      </w:r>
      <w:r w:rsidRPr="005B3EAC">
        <w:rPr>
          <w:rFonts w:ascii="Cambria" w:eastAsia="Arial Unicode MS" w:hAnsi="Cambria" w:cs="Arial"/>
          <w:bCs/>
          <w:sz w:val="24"/>
          <w:szCs w:val="24"/>
          <w:bdr w:val="nil"/>
        </w:rPr>
        <w:t xml:space="preserve">(energía, agua, saneamiento, salud y educación), </w:t>
      </w:r>
      <w:r w:rsidRPr="005B3EAC">
        <w:rPr>
          <w:rFonts w:ascii="Cambria" w:eastAsia="Arial Unicode MS" w:hAnsi="Cambria" w:cs="Arial"/>
          <w:bCs/>
          <w:i/>
          <w:iCs/>
          <w:sz w:val="24"/>
          <w:szCs w:val="24"/>
          <w:bdr w:val="nil"/>
        </w:rPr>
        <w:t xml:space="preserve">de comunicaciones y transporte </w:t>
      </w:r>
      <w:r w:rsidRPr="005B3EAC">
        <w:rPr>
          <w:rFonts w:ascii="Cambria" w:eastAsia="Arial Unicode MS" w:hAnsi="Cambria" w:cs="Arial"/>
          <w:bCs/>
          <w:sz w:val="24"/>
          <w:szCs w:val="24"/>
          <w:bdr w:val="nil"/>
        </w:rPr>
        <w:t xml:space="preserve">(carreteras, puertos, aeropuertos, ferrocarriles, telecomunicaciones) </w:t>
      </w:r>
      <w:r w:rsidRPr="005B3EAC">
        <w:rPr>
          <w:rFonts w:ascii="Cambria" w:eastAsia="Arial Unicode MS" w:hAnsi="Cambria" w:cs="Arial"/>
          <w:bCs/>
          <w:i/>
          <w:iCs/>
          <w:sz w:val="24"/>
          <w:szCs w:val="24"/>
          <w:bdr w:val="nil"/>
        </w:rPr>
        <w:t>y de infraestructura</w:t>
      </w:r>
      <w:r w:rsidRPr="005B3EAC">
        <w:rPr>
          <w:rFonts w:ascii="Cambria" w:eastAsia="Arial Unicode MS" w:hAnsi="Cambria" w:cs="Arial"/>
          <w:bCs/>
          <w:sz w:val="24"/>
          <w:szCs w:val="24"/>
          <w:bdr w:val="nil"/>
        </w:rPr>
        <w:t xml:space="preserve"> </w:t>
      </w:r>
      <w:r w:rsidRPr="005B3EAC">
        <w:rPr>
          <w:rFonts w:ascii="Cambria" w:eastAsia="Arial Unicode MS" w:hAnsi="Cambria" w:cs="Arial"/>
          <w:bCs/>
          <w:i/>
          <w:iCs/>
          <w:sz w:val="24"/>
          <w:szCs w:val="24"/>
          <w:bdr w:val="nil"/>
        </w:rPr>
        <w:t xml:space="preserve">gubernamental </w:t>
      </w:r>
      <w:r w:rsidRPr="005B3EAC">
        <w:rPr>
          <w:rFonts w:ascii="Cambria" w:eastAsia="Arial Unicode MS" w:hAnsi="Cambria" w:cs="Arial"/>
          <w:bCs/>
          <w:sz w:val="24"/>
          <w:szCs w:val="24"/>
          <w:bdr w:val="nil"/>
        </w:rPr>
        <w:t xml:space="preserve">(centros penitenciarios, oficinas gubernamentales, etc.), que </w:t>
      </w:r>
      <w:r w:rsidRPr="005B3EAC">
        <w:rPr>
          <w:rFonts w:ascii="Cambria" w:eastAsia="Arial Unicode MS" w:hAnsi="Cambria" w:cs="Arial"/>
          <w:bCs/>
          <w:sz w:val="24"/>
          <w:szCs w:val="24"/>
          <w:bdr w:val="nil"/>
        </w:rPr>
        <w:lastRenderedPageBreak/>
        <w:t xml:space="preserve">cumplen un rol fundamental en la mejora de la calidad de vida de miles de personas, especialmente en América Latina </w:t>
      </w:r>
      <w:r w:rsidR="000454FB" w:rsidRPr="005B3EAC">
        <w:rPr>
          <w:rFonts w:ascii="Cambria" w:eastAsia="Arial Unicode MS" w:hAnsi="Cambria" w:cs="Arial"/>
          <w:bCs/>
          <w:sz w:val="24"/>
          <w:szCs w:val="24"/>
          <w:bdr w:val="nil"/>
        </w:rPr>
        <w:t xml:space="preserve">y el Caribe. </w:t>
      </w:r>
    </w:p>
    <w:p w14:paraId="478FBB7D" w14:textId="77777777" w:rsidR="006F7816" w:rsidRPr="005B3EAC" w:rsidRDefault="006F7816"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7018800E" w14:textId="77777777" w:rsidR="006F7816" w:rsidRPr="005B3EAC" w:rsidRDefault="006F7816"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Si bien varios países de la región </w:t>
      </w:r>
      <w:r w:rsidR="000454FB" w:rsidRPr="005B3EAC">
        <w:rPr>
          <w:rFonts w:ascii="Cambria" w:eastAsia="Arial Unicode MS" w:hAnsi="Cambria" w:cs="Arial"/>
          <w:bCs/>
          <w:sz w:val="24"/>
          <w:szCs w:val="24"/>
          <w:bdr w:val="nil"/>
        </w:rPr>
        <w:t xml:space="preserve">en América Latina, </w:t>
      </w:r>
      <w:r w:rsidRPr="005B3EAC">
        <w:rPr>
          <w:rFonts w:ascii="Cambria" w:eastAsia="Arial Unicode MS" w:hAnsi="Cambria" w:cs="Arial"/>
          <w:bCs/>
          <w:sz w:val="24"/>
          <w:szCs w:val="24"/>
          <w:bdr w:val="nil"/>
        </w:rPr>
        <w:t>tienen experiencia en el desarrollo de proyectos APP, aún queda mucho por hacer y aprender para optimizar la utilización de este instrumento de política pública para el beneficio de todos los actores involucrados: los usuarios y la población en general, así como los sectores público y privado.</w:t>
      </w:r>
      <w:r w:rsidR="000454FB" w:rsidRPr="005B3EAC">
        <w:rPr>
          <w:rFonts w:ascii="Cambria" w:eastAsia="Arial Unicode MS" w:hAnsi="Cambria" w:cs="Arial"/>
          <w:bCs/>
          <w:sz w:val="24"/>
          <w:szCs w:val="24"/>
          <w:bdr w:val="nil"/>
        </w:rPr>
        <w:t xml:space="preserve"> </w:t>
      </w:r>
      <w:r w:rsidRPr="005B3EAC">
        <w:rPr>
          <w:rFonts w:ascii="Cambria" w:eastAsia="Arial Unicode MS" w:hAnsi="Cambria" w:cs="Arial"/>
          <w:bCs/>
          <w:sz w:val="24"/>
          <w:szCs w:val="24"/>
          <w:bdr w:val="nil"/>
        </w:rPr>
        <w:t>El reto clave para quienes se encargan del diseño e implementación de políticas de APP es generar entornos propicios que contribuyan al desarrollo exitoso de proyectos de inversión en infraestructura y servicios públicos estructurados bajo este tipo de modalidad.</w:t>
      </w:r>
    </w:p>
    <w:p w14:paraId="76F57B2A" w14:textId="77777777" w:rsidR="006F7816" w:rsidRPr="005B3EAC" w:rsidRDefault="006F7816"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p>
    <w:p w14:paraId="4282F19E" w14:textId="77777777" w:rsidR="000454FB" w:rsidRPr="005B3EAC" w:rsidRDefault="000454FB"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r w:rsidRPr="005B3EAC">
        <w:rPr>
          <w:rFonts w:ascii="Cambria" w:eastAsia="Arial Unicode MS" w:hAnsi="Cambria" w:cs="Arial"/>
          <w:b/>
          <w:bCs/>
          <w:sz w:val="24"/>
          <w:szCs w:val="24"/>
          <w:bdr w:val="nil"/>
        </w:rPr>
        <w:t>Por otro lado, existen los siguientes riesgos en el uso las APP:</w:t>
      </w:r>
    </w:p>
    <w:p w14:paraId="347C21E0" w14:textId="77777777" w:rsidR="000454FB" w:rsidRPr="005B3EAC" w:rsidRDefault="000454FB"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p>
    <w:p w14:paraId="192C624C" w14:textId="77777777" w:rsidR="000454FB" w:rsidRPr="005B3EAC" w:rsidRDefault="000454FB"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
          <w:bCs/>
          <w:sz w:val="24"/>
          <w:szCs w:val="24"/>
          <w:bdr w:val="nil"/>
        </w:rPr>
        <w:t xml:space="preserve">• Evadir controles de la administración financiera pública. </w:t>
      </w:r>
      <w:r w:rsidRPr="005B3EAC">
        <w:rPr>
          <w:rFonts w:ascii="Cambria" w:eastAsia="Arial Unicode MS" w:hAnsi="Cambria" w:cs="Arial"/>
          <w:bCs/>
          <w:sz w:val="24"/>
          <w:szCs w:val="24"/>
          <w:bdr w:val="nil"/>
        </w:rPr>
        <w:t>Las ventajas fiscales aparentes de las APP surgen de cuestiones contables como, por ejemplo, la clasificación de los compromisos firmes como gasto de inversión o gasto corriente. Esto puede crear problemas presupuestarios y permite que los gobiernos usen las APP para evadir sus propios límites presupuestarios, creando así la tentación de gastar más en el presente, en respuesta a presiones políticas y de otra índole, para proporcionar una infraestructura nueva y mejorada.</w:t>
      </w:r>
    </w:p>
    <w:p w14:paraId="56C3C1DE" w14:textId="77777777" w:rsidR="000454FB" w:rsidRPr="005B3EAC" w:rsidRDefault="000454FB"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Los estándares de contabilidad más recientes para el sector público requieren que se incluya los activos y los pasivos de la mayoría de las APP en los balances gubernamentales. Sin embargo, en el momento en que se aprueba un proyecto de APP, es posible que los compromisos de pagos futuros no estén todavía incluidos en los presupuestos y los planes de gasto, ya que estos, generalmente, no suelen contemplar más allá de uno a tres años en adelante.</w:t>
      </w:r>
    </w:p>
    <w:p w14:paraId="2EF14DB2" w14:textId="77777777" w:rsidR="000454FB" w:rsidRPr="005B3EAC" w:rsidRDefault="000454FB"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p>
    <w:p w14:paraId="7A3E7CA7" w14:textId="77777777" w:rsidR="006F7816" w:rsidRPr="005B3EAC" w:rsidRDefault="000454FB"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r w:rsidRPr="005B3EAC">
        <w:rPr>
          <w:rFonts w:ascii="Cambria" w:eastAsia="Arial Unicode MS" w:hAnsi="Cambria" w:cs="Arial"/>
          <w:b/>
          <w:bCs/>
          <w:sz w:val="24"/>
          <w:szCs w:val="24"/>
          <w:bdr w:val="nil"/>
        </w:rPr>
        <w:t xml:space="preserve">• Riesgos fiscales. </w:t>
      </w:r>
      <w:r w:rsidRPr="005B3EAC">
        <w:rPr>
          <w:rFonts w:ascii="Cambria" w:eastAsia="Arial Unicode MS" w:hAnsi="Cambria" w:cs="Arial"/>
          <w:bCs/>
          <w:sz w:val="24"/>
          <w:szCs w:val="24"/>
          <w:bdr w:val="nil"/>
        </w:rPr>
        <w:t>Aun cuando se espera que en una APP el ente privado absorba una cantidad sustancial de los riesgos inherentes al proyecto, los gobiernos suelen retener ciertas contingencias del mismo, lo que inevitablemente crea pasivos contingentes para el gobierno, cuyo costo puede ser más difícil de evaluar.</w:t>
      </w:r>
    </w:p>
    <w:p w14:paraId="4A410E73" w14:textId="77777777" w:rsidR="000454FB" w:rsidRPr="005B3EAC" w:rsidRDefault="000454FB"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Además de los pasivos gubernamentales explícitos, como las garantías, las APP pueden dar lugar a </w:t>
      </w:r>
      <w:r w:rsidRPr="005B3EAC">
        <w:rPr>
          <w:rFonts w:ascii="Cambria" w:eastAsia="Arial Unicode MS" w:hAnsi="Cambria" w:cs="Arial"/>
          <w:bCs/>
          <w:i/>
          <w:iCs/>
          <w:sz w:val="24"/>
          <w:szCs w:val="24"/>
          <w:bdr w:val="nil"/>
        </w:rPr>
        <w:t>pasivos implícitos</w:t>
      </w:r>
      <w:r w:rsidRPr="005B3EAC">
        <w:rPr>
          <w:rFonts w:ascii="Cambria" w:eastAsia="Arial Unicode MS" w:hAnsi="Cambria" w:cs="Arial"/>
          <w:bCs/>
          <w:sz w:val="24"/>
          <w:szCs w:val="24"/>
          <w:bdr w:val="nil"/>
        </w:rPr>
        <w:t>, esto es, pasivos no contractuales que surgen de la obligación moral o de las expectativas públicas de intervención gubernamental, lo que crea un mayor riesgo fiscal.</w:t>
      </w:r>
    </w:p>
    <w:p w14:paraId="3CD42E50" w14:textId="77777777" w:rsidR="004D14A3" w:rsidRPr="005B3EAC" w:rsidRDefault="004D14A3"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5D97F340" w14:textId="36993AC8" w:rsidR="003003F9" w:rsidRPr="005B3EAC" w:rsidRDefault="00250148"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
          <w:bCs/>
          <w:sz w:val="24"/>
          <w:szCs w:val="24"/>
          <w:bdr w:val="nil"/>
        </w:rPr>
        <w:t>III.-</w:t>
      </w:r>
      <w:r w:rsidRPr="005B3EAC">
        <w:rPr>
          <w:rFonts w:ascii="Cambria" w:eastAsia="Arial Unicode MS" w:hAnsi="Cambria" w:cs="Arial"/>
          <w:bCs/>
          <w:sz w:val="24"/>
          <w:szCs w:val="24"/>
          <w:bdr w:val="nil"/>
        </w:rPr>
        <w:t xml:space="preserve"> Aunado a lo antes mencionado, de las revisiones previas por parte del Congreso del Estado de Jalisco, se </w:t>
      </w:r>
      <w:r w:rsidR="003003F9" w:rsidRPr="005B3EAC">
        <w:rPr>
          <w:rFonts w:ascii="Cambria" w:eastAsia="Arial Unicode MS" w:hAnsi="Cambria" w:cs="Arial"/>
          <w:bCs/>
          <w:sz w:val="24"/>
          <w:szCs w:val="24"/>
          <w:bdr w:val="nil"/>
        </w:rPr>
        <w:t>observaron que de l</w:t>
      </w:r>
      <w:r w:rsidRPr="005B3EAC">
        <w:rPr>
          <w:rFonts w:ascii="Cambria" w:eastAsia="Arial Unicode MS" w:hAnsi="Cambria" w:cs="Arial"/>
          <w:bCs/>
          <w:sz w:val="24"/>
          <w:szCs w:val="24"/>
          <w:bdr w:val="nil"/>
        </w:rPr>
        <w:t>os riesgos</w:t>
      </w:r>
      <w:r w:rsidR="003003F9" w:rsidRPr="005B3EAC">
        <w:rPr>
          <w:rFonts w:ascii="Cambria" w:eastAsia="Arial Unicode MS" w:hAnsi="Cambria" w:cs="Arial"/>
          <w:bCs/>
          <w:sz w:val="24"/>
          <w:szCs w:val="24"/>
          <w:bdr w:val="nil"/>
        </w:rPr>
        <w:t xml:space="preserve"> compartidos entre el Municipio y la iniciativa privada, sobre las obligaciones contractuales que se proponían al compartir utilidades y riesgos, se hizo énfasis</w:t>
      </w:r>
      <w:r w:rsidR="00F20802" w:rsidRPr="005B3EAC">
        <w:rPr>
          <w:rFonts w:ascii="Cambria" w:eastAsia="Arial Unicode MS" w:hAnsi="Cambria" w:cs="Arial"/>
          <w:bCs/>
          <w:sz w:val="24"/>
          <w:szCs w:val="24"/>
          <w:bdr w:val="nil"/>
        </w:rPr>
        <w:t xml:space="preserve"> sobre el riesgo de </w:t>
      </w:r>
      <w:r w:rsidR="00CC224F" w:rsidRPr="005B3EAC">
        <w:rPr>
          <w:rFonts w:ascii="Cambria" w:eastAsia="Arial Unicode MS" w:hAnsi="Cambria" w:cs="Arial"/>
          <w:bCs/>
          <w:sz w:val="24"/>
          <w:szCs w:val="24"/>
          <w:bdr w:val="nil"/>
        </w:rPr>
        <w:t>poner en</w:t>
      </w:r>
      <w:r w:rsidRPr="005B3EAC">
        <w:rPr>
          <w:rFonts w:ascii="Cambria" w:eastAsia="Arial Unicode MS" w:hAnsi="Cambria" w:cs="Arial"/>
          <w:bCs/>
          <w:sz w:val="24"/>
          <w:szCs w:val="24"/>
          <w:bdr w:val="nil"/>
        </w:rPr>
        <w:t xml:space="preserve"> garantía las participaciones </w:t>
      </w:r>
      <w:r w:rsidR="003003F9" w:rsidRPr="005B3EAC">
        <w:rPr>
          <w:rFonts w:ascii="Cambria" w:eastAsia="Arial Unicode MS" w:hAnsi="Cambria" w:cs="Arial"/>
          <w:bCs/>
          <w:sz w:val="24"/>
          <w:szCs w:val="24"/>
          <w:bdr w:val="nil"/>
        </w:rPr>
        <w:t xml:space="preserve">federales </w:t>
      </w:r>
      <w:r w:rsidRPr="005B3EAC">
        <w:rPr>
          <w:rFonts w:ascii="Cambria" w:eastAsia="Arial Unicode MS" w:hAnsi="Cambria" w:cs="Arial"/>
          <w:bCs/>
          <w:sz w:val="24"/>
          <w:szCs w:val="24"/>
          <w:bdr w:val="nil"/>
        </w:rPr>
        <w:t xml:space="preserve">del </w:t>
      </w:r>
      <w:r w:rsidRPr="005B3EAC">
        <w:rPr>
          <w:rFonts w:ascii="Cambria" w:eastAsia="Arial Unicode MS" w:hAnsi="Cambria" w:cs="Arial"/>
          <w:bCs/>
          <w:sz w:val="24"/>
          <w:szCs w:val="24"/>
          <w:bdr w:val="nil"/>
        </w:rPr>
        <w:lastRenderedPageBreak/>
        <w:t xml:space="preserve">Ayuntamiento de conformidad con </w:t>
      </w:r>
      <w:r w:rsidR="00CC224F" w:rsidRPr="005B3EAC">
        <w:rPr>
          <w:rFonts w:ascii="Cambria" w:eastAsia="Arial Unicode MS" w:hAnsi="Cambria" w:cs="Arial"/>
          <w:bCs/>
          <w:sz w:val="24"/>
          <w:szCs w:val="24"/>
          <w:bdr w:val="nil"/>
        </w:rPr>
        <w:t>los requisitos de ley</w:t>
      </w:r>
      <w:r w:rsidR="00F20802" w:rsidRPr="005B3EAC">
        <w:rPr>
          <w:rFonts w:ascii="Cambria" w:eastAsia="Arial Unicode MS" w:hAnsi="Cambria" w:cs="Arial"/>
          <w:bCs/>
          <w:sz w:val="24"/>
          <w:szCs w:val="24"/>
          <w:bdr w:val="nil"/>
        </w:rPr>
        <w:t>,</w:t>
      </w:r>
      <w:r w:rsidR="00CC224F" w:rsidRPr="005B3EAC">
        <w:rPr>
          <w:rFonts w:ascii="Cambria" w:eastAsia="Arial Unicode MS" w:hAnsi="Cambria" w:cs="Arial"/>
          <w:bCs/>
          <w:sz w:val="24"/>
          <w:szCs w:val="24"/>
          <w:bdr w:val="nil"/>
        </w:rPr>
        <w:t xml:space="preserve"> en </w:t>
      </w:r>
      <w:r w:rsidRPr="005B3EAC">
        <w:rPr>
          <w:rFonts w:ascii="Cambria" w:eastAsia="Arial Unicode MS" w:hAnsi="Cambria" w:cs="Arial"/>
          <w:bCs/>
          <w:sz w:val="24"/>
          <w:szCs w:val="24"/>
          <w:bdr w:val="nil"/>
        </w:rPr>
        <w:t>la modalidad de Asociación Público- Privada</w:t>
      </w:r>
      <w:r w:rsidR="003003F9" w:rsidRPr="005B3EAC">
        <w:rPr>
          <w:rFonts w:ascii="Cambria" w:eastAsia="Arial Unicode MS" w:hAnsi="Cambria" w:cs="Arial"/>
          <w:bCs/>
          <w:sz w:val="24"/>
          <w:szCs w:val="24"/>
          <w:bdr w:val="nil"/>
        </w:rPr>
        <w:t xml:space="preserve">. </w:t>
      </w:r>
    </w:p>
    <w:p w14:paraId="04F1B5FD" w14:textId="77777777" w:rsidR="003003F9" w:rsidRPr="005B3EAC" w:rsidRDefault="003003F9"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43557166" w14:textId="01627864" w:rsidR="00753632" w:rsidRPr="005B3EAC" w:rsidRDefault="00753632"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Según el reporte de la Secretaría de la Hacienda Pública, sobre las participaciones federales al mes de mayo del año 2020, se generó un impacto en la Recaudación Federal Participable (RFP), ya que a nivel nacional durante mayo la RFP alcanzó los 242 mil 399 MDP (MDP), lo que representó una disminución del17.9% respecto a la Recaudación Federal Participable programada en la Ley de Ingresos de la Federación LIF 2020. </w:t>
      </w:r>
    </w:p>
    <w:p w14:paraId="39B13778" w14:textId="77777777" w:rsidR="00753632" w:rsidRPr="005B3EAC" w:rsidRDefault="00753632"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tbl>
      <w:tblPr>
        <w:tblStyle w:val="Tabladecuadrcula4-nfasis5"/>
        <w:tblW w:w="0" w:type="auto"/>
        <w:tblLook w:val="04A0" w:firstRow="1" w:lastRow="0" w:firstColumn="1" w:lastColumn="0" w:noHBand="0" w:noVBand="1"/>
      </w:tblPr>
      <w:tblGrid>
        <w:gridCol w:w="2689"/>
        <w:gridCol w:w="2551"/>
        <w:gridCol w:w="2410"/>
        <w:gridCol w:w="1859"/>
      </w:tblGrid>
      <w:tr w:rsidR="00753632" w:rsidRPr="00B96B16" w14:paraId="3E3239DC" w14:textId="77777777" w:rsidTr="00B96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9" w:type="dxa"/>
            <w:gridSpan w:val="4"/>
          </w:tcPr>
          <w:p w14:paraId="6BE44555" w14:textId="77777777" w:rsidR="00753632" w:rsidRPr="00B96B16" w:rsidRDefault="00753632" w:rsidP="00753632">
            <w:pPr>
              <w:jc w:val="center"/>
              <w:rPr>
                <w:rFonts w:ascii="Cambria" w:eastAsia="Arial Unicode MS" w:hAnsi="Cambria" w:cs="Arial"/>
                <w:b w:val="0"/>
                <w:bCs w:val="0"/>
                <w:szCs w:val="24"/>
                <w:bdr w:val="nil"/>
              </w:rPr>
            </w:pPr>
            <w:r w:rsidRPr="00B96B16">
              <w:rPr>
                <w:rFonts w:ascii="Cambria" w:eastAsia="Arial Unicode MS" w:hAnsi="Cambria" w:cs="Arial"/>
                <w:b w:val="0"/>
                <w:bCs w:val="0"/>
                <w:szCs w:val="24"/>
                <w:bdr w:val="nil"/>
              </w:rPr>
              <w:t>RFP MAYO 2020</w:t>
            </w:r>
          </w:p>
          <w:p w14:paraId="032F0728" w14:textId="0DB7E8C6" w:rsidR="00EA43B5" w:rsidRPr="00B96B16" w:rsidRDefault="00EA43B5" w:rsidP="00753632">
            <w:pPr>
              <w:jc w:val="center"/>
              <w:rPr>
                <w:rFonts w:ascii="Cambria" w:eastAsia="Arial Unicode MS" w:hAnsi="Cambria" w:cs="Arial"/>
                <w:b w:val="0"/>
                <w:bCs w:val="0"/>
                <w:szCs w:val="24"/>
                <w:bdr w:val="nil"/>
              </w:rPr>
            </w:pPr>
          </w:p>
        </w:tc>
      </w:tr>
      <w:tr w:rsidR="00753632" w:rsidRPr="00B96B16" w14:paraId="63C51C08" w14:textId="77777777" w:rsidTr="00B9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E28CD6" w14:textId="0F17E924" w:rsidR="00753632" w:rsidRPr="00B96B16" w:rsidRDefault="00753632" w:rsidP="00753632">
            <w:pPr>
              <w:jc w:val="center"/>
              <w:rPr>
                <w:rFonts w:ascii="Cambria" w:eastAsia="Arial Unicode MS" w:hAnsi="Cambria" w:cs="Arial"/>
                <w:b w:val="0"/>
                <w:bCs w:val="0"/>
                <w:szCs w:val="24"/>
                <w:bdr w:val="nil"/>
              </w:rPr>
            </w:pPr>
            <w:r w:rsidRPr="00B96B16">
              <w:rPr>
                <w:rFonts w:ascii="Cambria" w:eastAsia="Arial Unicode MS" w:hAnsi="Cambria" w:cs="Arial"/>
                <w:b w:val="0"/>
                <w:bCs w:val="0"/>
                <w:szCs w:val="24"/>
                <w:bdr w:val="nil"/>
              </w:rPr>
              <w:t>RFP estimada mensual</w:t>
            </w:r>
          </w:p>
        </w:tc>
        <w:tc>
          <w:tcPr>
            <w:tcW w:w="2551" w:type="dxa"/>
          </w:tcPr>
          <w:p w14:paraId="3941A50A" w14:textId="2357B829" w:rsidR="00753632" w:rsidRPr="00B96B16" w:rsidRDefault="00753632" w:rsidP="00753632">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Cs w:val="24"/>
                <w:bdr w:val="nil"/>
              </w:rPr>
            </w:pPr>
            <w:r w:rsidRPr="00B96B16">
              <w:rPr>
                <w:rFonts w:ascii="Cambria" w:eastAsia="Arial Unicode MS" w:hAnsi="Cambria" w:cs="Arial"/>
                <w:b/>
                <w:bCs/>
                <w:szCs w:val="24"/>
                <w:bdr w:val="nil"/>
              </w:rPr>
              <w:t>Observada</w:t>
            </w:r>
          </w:p>
        </w:tc>
        <w:tc>
          <w:tcPr>
            <w:tcW w:w="2410" w:type="dxa"/>
          </w:tcPr>
          <w:p w14:paraId="26654C6C" w14:textId="098E50DA" w:rsidR="00753632" w:rsidRPr="00B96B16" w:rsidRDefault="00753632" w:rsidP="00753632">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Cs w:val="24"/>
                <w:bdr w:val="nil"/>
              </w:rPr>
            </w:pPr>
            <w:r w:rsidRPr="00B96B16">
              <w:rPr>
                <w:rFonts w:ascii="Cambria" w:eastAsia="Arial Unicode MS" w:hAnsi="Cambria" w:cs="Arial"/>
                <w:b/>
                <w:bCs/>
                <w:szCs w:val="24"/>
                <w:bdr w:val="nil"/>
              </w:rPr>
              <w:t>Diferencia</w:t>
            </w:r>
          </w:p>
        </w:tc>
        <w:tc>
          <w:tcPr>
            <w:tcW w:w="1859" w:type="dxa"/>
          </w:tcPr>
          <w:p w14:paraId="17319245" w14:textId="7AD25217" w:rsidR="00753632" w:rsidRPr="00B96B16" w:rsidRDefault="00753632" w:rsidP="00753632">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Cs w:val="24"/>
                <w:bdr w:val="nil"/>
              </w:rPr>
            </w:pPr>
            <w:r w:rsidRPr="00B96B16">
              <w:rPr>
                <w:rFonts w:ascii="Cambria" w:eastAsia="Arial Unicode MS" w:hAnsi="Cambria" w:cs="Arial"/>
                <w:b/>
                <w:bCs/>
                <w:szCs w:val="24"/>
                <w:bdr w:val="nil"/>
              </w:rPr>
              <w:t>%</w:t>
            </w:r>
          </w:p>
        </w:tc>
      </w:tr>
      <w:tr w:rsidR="00753632" w:rsidRPr="00B96B16" w14:paraId="7F523067" w14:textId="77777777" w:rsidTr="00B96B16">
        <w:tc>
          <w:tcPr>
            <w:cnfStyle w:val="001000000000" w:firstRow="0" w:lastRow="0" w:firstColumn="1" w:lastColumn="0" w:oddVBand="0" w:evenVBand="0" w:oddHBand="0" w:evenHBand="0" w:firstRowFirstColumn="0" w:firstRowLastColumn="0" w:lastRowFirstColumn="0" w:lastRowLastColumn="0"/>
            <w:tcW w:w="2689" w:type="dxa"/>
          </w:tcPr>
          <w:p w14:paraId="1BD15D3D" w14:textId="7740CB91" w:rsidR="00753632" w:rsidRPr="00B96B16" w:rsidRDefault="00753632" w:rsidP="00C32E98">
            <w:pPr>
              <w:jc w:val="center"/>
              <w:rPr>
                <w:rFonts w:ascii="Cambria" w:eastAsia="Arial Unicode MS" w:hAnsi="Cambria" w:cs="Arial"/>
                <w:bCs w:val="0"/>
                <w:szCs w:val="24"/>
                <w:bdr w:val="nil"/>
              </w:rPr>
            </w:pPr>
            <w:r w:rsidRPr="00B96B16">
              <w:rPr>
                <w:rFonts w:ascii="Cambria" w:eastAsia="Arial Unicode MS" w:hAnsi="Cambria" w:cs="Arial"/>
                <w:bCs w:val="0"/>
                <w:szCs w:val="24"/>
                <w:bdr w:val="nil"/>
              </w:rPr>
              <w:t>295,240,440,900</w:t>
            </w:r>
          </w:p>
        </w:tc>
        <w:tc>
          <w:tcPr>
            <w:tcW w:w="2551" w:type="dxa"/>
          </w:tcPr>
          <w:p w14:paraId="49F2AA14" w14:textId="0BCE6F3E" w:rsidR="00753632" w:rsidRPr="00B96B16" w:rsidRDefault="00753632" w:rsidP="00C32E98">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Cs w:val="24"/>
                <w:bdr w:val="nil"/>
              </w:rPr>
            </w:pPr>
            <w:r w:rsidRPr="00B96B16">
              <w:rPr>
                <w:rFonts w:ascii="Cambria" w:eastAsia="Arial Unicode MS" w:hAnsi="Cambria" w:cs="Arial"/>
                <w:bCs/>
                <w:szCs w:val="24"/>
                <w:bdr w:val="nil"/>
              </w:rPr>
              <w:t>242,399,666,172</w:t>
            </w:r>
          </w:p>
        </w:tc>
        <w:tc>
          <w:tcPr>
            <w:tcW w:w="2410" w:type="dxa"/>
          </w:tcPr>
          <w:p w14:paraId="7D738E97" w14:textId="33C07EEE" w:rsidR="00753632" w:rsidRPr="00B96B16" w:rsidRDefault="00753632" w:rsidP="00C32E98">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Cs w:val="24"/>
                <w:bdr w:val="nil"/>
              </w:rPr>
            </w:pPr>
            <w:r w:rsidRPr="00B96B16">
              <w:rPr>
                <w:rFonts w:ascii="Cambria" w:eastAsia="Arial Unicode MS" w:hAnsi="Cambria" w:cs="Arial"/>
                <w:bCs/>
                <w:szCs w:val="24"/>
                <w:bdr w:val="nil"/>
              </w:rPr>
              <w:t>-52,840,774,728</w:t>
            </w:r>
          </w:p>
        </w:tc>
        <w:tc>
          <w:tcPr>
            <w:tcW w:w="1859" w:type="dxa"/>
          </w:tcPr>
          <w:p w14:paraId="55322214" w14:textId="71A43031" w:rsidR="00753632" w:rsidRPr="00B96B16" w:rsidRDefault="00753632" w:rsidP="00C32E98">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Cs w:val="24"/>
                <w:bdr w:val="nil"/>
              </w:rPr>
            </w:pPr>
            <w:r w:rsidRPr="00B96B16">
              <w:rPr>
                <w:rFonts w:ascii="Cambria" w:eastAsia="Arial Unicode MS" w:hAnsi="Cambria" w:cs="Arial"/>
                <w:bCs/>
                <w:szCs w:val="24"/>
                <w:bdr w:val="nil"/>
              </w:rPr>
              <w:t>-17.90%</w:t>
            </w:r>
          </w:p>
        </w:tc>
      </w:tr>
    </w:tbl>
    <w:p w14:paraId="5EA9D7B3" w14:textId="77777777" w:rsidR="00753632" w:rsidRPr="005B3EAC" w:rsidRDefault="00753632"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28DDF275" w14:textId="7151E151"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r w:rsidRPr="005B3EAC">
        <w:rPr>
          <w:rFonts w:ascii="Cambria" w:eastAsia="Arial Unicode MS" w:hAnsi="Cambria" w:cs="Arial"/>
          <w:bCs/>
          <w:sz w:val="24"/>
          <w:szCs w:val="24"/>
          <w:bdr w:val="nil"/>
        </w:rPr>
        <w:t xml:space="preserve">Los Fondos de Participaciones Referenciados a la RFP que se distribuyen a las Entidades y a los Municipios: Fondo General de Participaciones (FGP), Fondo de Fomento Municipal (FFM) y Fondo de Fiscalización y Recaudación (FOFIR) </w:t>
      </w:r>
      <w:r w:rsidRPr="005B3EAC">
        <w:rPr>
          <w:rFonts w:ascii="Cambria" w:eastAsia="Arial Unicode MS" w:hAnsi="Cambria" w:cs="Arial"/>
          <w:b/>
          <w:bCs/>
          <w:sz w:val="24"/>
          <w:szCs w:val="24"/>
          <w:bdr w:val="nil"/>
        </w:rPr>
        <w:t>tuvieron una disminución respecto a lo programado en la LIF 2020, aproximadamente del 17%.</w:t>
      </w:r>
    </w:p>
    <w:p w14:paraId="6D3DD8FC" w14:textId="77777777"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65AB3843" w14:textId="77777777"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FGP una disminución de 10 mil MDP que equivale a una caída de 17.1%</w:t>
      </w:r>
    </w:p>
    <w:p w14:paraId="749A404C" w14:textId="77777777"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FFM una caída de 528 MDP, equivalentes a una caída de 17.9%.</w:t>
      </w:r>
    </w:p>
    <w:p w14:paraId="5CA19B45" w14:textId="77777777"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FOFIR es un fondo que se liquida de manera trimestral, en mayo sólo se da un anticipo.</w:t>
      </w:r>
    </w:p>
    <w:p w14:paraId="048A9573" w14:textId="77777777"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3FEC3A02" w14:textId="2278AD45" w:rsidR="00753632"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Los ingresos no referenciados a la RFP, como el IEPS y IEPS de gasolina y diésel, tuvieron caídas aún más significativas. En cuanto al IEPS la caída respecto a lo programado en LIF 2020 fue de 29.2%, que equivalen a 356.5 MDP. En cuanto a IEPS de gasolina y diésel, la caída fue 19.4% que equivale a 385.9 MDP; que reflejan el impacto de la suspensión en la actividad económica. </w:t>
      </w:r>
    </w:p>
    <w:p w14:paraId="7F88EFE4" w14:textId="77777777"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tbl>
      <w:tblPr>
        <w:tblStyle w:val="Tabladecuadrcula4-nfasis5"/>
        <w:tblW w:w="0" w:type="auto"/>
        <w:tblLook w:val="04A0" w:firstRow="1" w:lastRow="0" w:firstColumn="1" w:lastColumn="0" w:noHBand="0" w:noVBand="1"/>
      </w:tblPr>
      <w:tblGrid>
        <w:gridCol w:w="2263"/>
        <w:gridCol w:w="1843"/>
        <w:gridCol w:w="1985"/>
        <w:gridCol w:w="2268"/>
        <w:gridCol w:w="1150"/>
      </w:tblGrid>
      <w:tr w:rsidR="00EA43B5" w:rsidRPr="00B96B16" w14:paraId="31C030C7" w14:textId="77777777" w:rsidTr="00B96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9" w:type="dxa"/>
            <w:gridSpan w:val="5"/>
          </w:tcPr>
          <w:p w14:paraId="2688DF1E" w14:textId="77777777" w:rsidR="00EA43B5" w:rsidRPr="00B96B16" w:rsidRDefault="00EA43B5" w:rsidP="00EA43B5">
            <w:pPr>
              <w:jc w:val="center"/>
              <w:rPr>
                <w:rFonts w:ascii="Cambria" w:eastAsia="Arial Unicode MS" w:hAnsi="Cambria" w:cs="Arial"/>
                <w:b w:val="0"/>
                <w:bCs w:val="0"/>
                <w:sz w:val="20"/>
                <w:szCs w:val="24"/>
                <w:bdr w:val="nil"/>
              </w:rPr>
            </w:pPr>
            <w:r w:rsidRPr="00B96B16">
              <w:rPr>
                <w:rFonts w:ascii="Cambria" w:eastAsia="Arial Unicode MS" w:hAnsi="Cambria" w:cs="Arial"/>
                <w:b w:val="0"/>
                <w:bCs w:val="0"/>
                <w:sz w:val="20"/>
                <w:szCs w:val="24"/>
                <w:bdr w:val="nil"/>
              </w:rPr>
              <w:t>FONDO DE PARTICIPACIONES A DISTRIBUIR ENTRE ENTIDADES MAYO 2020</w:t>
            </w:r>
          </w:p>
          <w:p w14:paraId="259DCCA2" w14:textId="1D858696" w:rsidR="00EA43B5" w:rsidRPr="00B96B16" w:rsidRDefault="00EA43B5" w:rsidP="00C32E98">
            <w:pPr>
              <w:jc w:val="both"/>
              <w:rPr>
                <w:rFonts w:ascii="Cambria" w:eastAsia="Arial Unicode MS" w:hAnsi="Cambria" w:cs="Arial"/>
                <w:b w:val="0"/>
                <w:bCs w:val="0"/>
                <w:sz w:val="20"/>
                <w:szCs w:val="24"/>
                <w:bdr w:val="nil"/>
              </w:rPr>
            </w:pPr>
          </w:p>
        </w:tc>
      </w:tr>
      <w:tr w:rsidR="00C32E98" w:rsidRPr="00B96B16" w14:paraId="5AFA6D0C" w14:textId="77777777" w:rsidTr="00B9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1C1889" w14:textId="3BF24687" w:rsidR="00C32E98" w:rsidRPr="00B96B16" w:rsidRDefault="00C32E98" w:rsidP="00EA43B5">
            <w:pPr>
              <w:jc w:val="center"/>
              <w:rPr>
                <w:rFonts w:ascii="Cambria" w:eastAsia="Arial Unicode MS" w:hAnsi="Cambria" w:cs="Arial"/>
                <w:b w:val="0"/>
                <w:bCs w:val="0"/>
                <w:sz w:val="20"/>
                <w:szCs w:val="24"/>
                <w:bdr w:val="nil"/>
              </w:rPr>
            </w:pPr>
            <w:r w:rsidRPr="00B96B16">
              <w:rPr>
                <w:rFonts w:ascii="Cambria" w:eastAsia="Arial Unicode MS" w:hAnsi="Cambria" w:cs="Arial"/>
                <w:b w:val="0"/>
                <w:bCs w:val="0"/>
                <w:sz w:val="20"/>
                <w:szCs w:val="24"/>
                <w:bdr w:val="nil"/>
              </w:rPr>
              <w:t>FONDOS</w:t>
            </w:r>
          </w:p>
        </w:tc>
        <w:tc>
          <w:tcPr>
            <w:tcW w:w="1843" w:type="dxa"/>
          </w:tcPr>
          <w:p w14:paraId="11E61C3C" w14:textId="30615F25" w:rsidR="00C32E98" w:rsidRPr="00B96B16" w:rsidRDefault="00C32E98" w:rsidP="00EA43B5">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LIF 2020</w:t>
            </w:r>
          </w:p>
        </w:tc>
        <w:tc>
          <w:tcPr>
            <w:tcW w:w="1985" w:type="dxa"/>
          </w:tcPr>
          <w:p w14:paraId="43D5E2D1" w14:textId="228BD494" w:rsidR="00C32E98" w:rsidRPr="00B96B16" w:rsidRDefault="00C32E98" w:rsidP="00EA43B5">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PAGADO</w:t>
            </w:r>
          </w:p>
        </w:tc>
        <w:tc>
          <w:tcPr>
            <w:tcW w:w="2268" w:type="dxa"/>
          </w:tcPr>
          <w:p w14:paraId="7F6B4E87" w14:textId="6966E5D7" w:rsidR="00C32E98" w:rsidRPr="00B96B16" w:rsidRDefault="00C32E98" w:rsidP="00EA43B5">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szCs w:val="24"/>
                <w:bdr w:val="nil"/>
              </w:rPr>
            </w:pPr>
            <w:proofErr w:type="spellStart"/>
            <w:r w:rsidRPr="00B96B16">
              <w:rPr>
                <w:rFonts w:ascii="Cambria" w:eastAsia="Arial Unicode MS" w:hAnsi="Cambria" w:cs="Arial"/>
                <w:b/>
                <w:bCs/>
                <w:sz w:val="20"/>
                <w:szCs w:val="24"/>
                <w:bdr w:val="nil"/>
              </w:rPr>
              <w:t>Dif</w:t>
            </w:r>
            <w:proofErr w:type="spellEnd"/>
            <w:r w:rsidRPr="00B96B16">
              <w:rPr>
                <w:rFonts w:ascii="Cambria" w:eastAsia="Arial Unicode MS" w:hAnsi="Cambria" w:cs="Arial"/>
                <w:b/>
                <w:bCs/>
                <w:sz w:val="20"/>
                <w:szCs w:val="24"/>
                <w:bdr w:val="nil"/>
              </w:rPr>
              <w:t>. Absoluta</w:t>
            </w:r>
          </w:p>
        </w:tc>
        <w:tc>
          <w:tcPr>
            <w:tcW w:w="1150" w:type="dxa"/>
          </w:tcPr>
          <w:p w14:paraId="52B092BE" w14:textId="2B8C4C2A" w:rsidR="00C32E98" w:rsidRPr="00B96B16" w:rsidRDefault="00C32E98" w:rsidP="00EA43B5">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Var%</w:t>
            </w:r>
          </w:p>
        </w:tc>
      </w:tr>
      <w:tr w:rsidR="00C32E98" w:rsidRPr="00B96B16" w14:paraId="2E0CCB57" w14:textId="77777777" w:rsidTr="00B96B16">
        <w:tc>
          <w:tcPr>
            <w:cnfStyle w:val="001000000000" w:firstRow="0" w:lastRow="0" w:firstColumn="1" w:lastColumn="0" w:oddVBand="0" w:evenVBand="0" w:oddHBand="0" w:evenHBand="0" w:firstRowFirstColumn="0" w:firstRowLastColumn="0" w:lastRowFirstColumn="0" w:lastRowLastColumn="0"/>
            <w:tcW w:w="2263" w:type="dxa"/>
          </w:tcPr>
          <w:p w14:paraId="54364006" w14:textId="40529FAE" w:rsidR="00C32E98" w:rsidRPr="00B96B16" w:rsidRDefault="00C32E98" w:rsidP="00C32E98">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FGP</w:t>
            </w:r>
          </w:p>
        </w:tc>
        <w:tc>
          <w:tcPr>
            <w:tcW w:w="1843" w:type="dxa"/>
          </w:tcPr>
          <w:p w14:paraId="4042F7C7" w14:textId="2F8F3539" w:rsidR="00C32E98" w:rsidRPr="00B96B16" w:rsidRDefault="00C32E98"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58,484,010,240</w:t>
            </w:r>
          </w:p>
        </w:tc>
        <w:tc>
          <w:tcPr>
            <w:tcW w:w="1985" w:type="dxa"/>
          </w:tcPr>
          <w:p w14:paraId="64285FB6" w14:textId="201E6310" w:rsidR="00C32E98" w:rsidRPr="00B96B16" w:rsidRDefault="00C32E98"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48,479,933,234</w:t>
            </w:r>
          </w:p>
        </w:tc>
        <w:tc>
          <w:tcPr>
            <w:tcW w:w="2268" w:type="dxa"/>
          </w:tcPr>
          <w:p w14:paraId="7BECC1D3" w14:textId="3BF8867F" w:rsidR="00C32E98" w:rsidRPr="00B96B16" w:rsidRDefault="00C32E98"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-10,004,077,006</w:t>
            </w:r>
          </w:p>
        </w:tc>
        <w:tc>
          <w:tcPr>
            <w:tcW w:w="1150" w:type="dxa"/>
          </w:tcPr>
          <w:p w14:paraId="44D4AD65" w14:textId="154A0F56" w:rsidR="00C32E98" w:rsidRPr="00B96B16" w:rsidRDefault="00EA43B5"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-17.1%</w:t>
            </w:r>
          </w:p>
        </w:tc>
      </w:tr>
      <w:tr w:rsidR="00C32E98" w:rsidRPr="00B96B16" w14:paraId="05344D86" w14:textId="77777777" w:rsidTr="00B9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BE1A5AB" w14:textId="3CC4A76F" w:rsidR="00C32E98" w:rsidRPr="00B96B16" w:rsidRDefault="00C32E98" w:rsidP="00C32E98">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FFM</w:t>
            </w:r>
          </w:p>
        </w:tc>
        <w:tc>
          <w:tcPr>
            <w:tcW w:w="1843" w:type="dxa"/>
          </w:tcPr>
          <w:p w14:paraId="5A9D5B86" w14:textId="23F98BC6" w:rsidR="00C32E98" w:rsidRPr="00B96B16" w:rsidRDefault="00C32E98" w:rsidP="00EA43B5">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2,952,404,409</w:t>
            </w:r>
          </w:p>
        </w:tc>
        <w:tc>
          <w:tcPr>
            <w:tcW w:w="1985" w:type="dxa"/>
          </w:tcPr>
          <w:p w14:paraId="61CD0BAE" w14:textId="48CB1FCC" w:rsidR="00C32E98" w:rsidRPr="00B96B16" w:rsidRDefault="00C32E98" w:rsidP="00EA43B5">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2,423,996,662</w:t>
            </w:r>
          </w:p>
        </w:tc>
        <w:tc>
          <w:tcPr>
            <w:tcW w:w="2268" w:type="dxa"/>
          </w:tcPr>
          <w:p w14:paraId="1245F08C" w14:textId="1599C733" w:rsidR="00C32E98" w:rsidRPr="00B96B16" w:rsidRDefault="00EA43B5" w:rsidP="00EA43B5">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-528,407,747</w:t>
            </w:r>
          </w:p>
        </w:tc>
        <w:tc>
          <w:tcPr>
            <w:tcW w:w="1150" w:type="dxa"/>
          </w:tcPr>
          <w:p w14:paraId="2029F8A3" w14:textId="553B19AD" w:rsidR="00C32E98" w:rsidRPr="00B96B16" w:rsidRDefault="00EA43B5" w:rsidP="00EA43B5">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-17.9%</w:t>
            </w:r>
          </w:p>
        </w:tc>
      </w:tr>
      <w:tr w:rsidR="00C32E98" w:rsidRPr="00B96B16" w14:paraId="2106E041" w14:textId="77777777" w:rsidTr="00B96B16">
        <w:tc>
          <w:tcPr>
            <w:cnfStyle w:val="001000000000" w:firstRow="0" w:lastRow="0" w:firstColumn="1" w:lastColumn="0" w:oddVBand="0" w:evenVBand="0" w:oddHBand="0" w:evenHBand="0" w:firstRowFirstColumn="0" w:firstRowLastColumn="0" w:lastRowFirstColumn="0" w:lastRowLastColumn="0"/>
            <w:tcW w:w="2263" w:type="dxa"/>
          </w:tcPr>
          <w:p w14:paraId="428ECC05" w14:textId="5F582344" w:rsidR="00C32E98" w:rsidRPr="00B96B16" w:rsidRDefault="00C32E98" w:rsidP="00C32E98">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FOFIR</w:t>
            </w:r>
          </w:p>
        </w:tc>
        <w:tc>
          <w:tcPr>
            <w:tcW w:w="1843" w:type="dxa"/>
          </w:tcPr>
          <w:p w14:paraId="7B35BA73" w14:textId="3773EA05" w:rsidR="00C32E98" w:rsidRPr="00B96B16" w:rsidRDefault="00C32E98"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2,222,865,733</w:t>
            </w:r>
          </w:p>
        </w:tc>
        <w:tc>
          <w:tcPr>
            <w:tcW w:w="1985" w:type="dxa"/>
          </w:tcPr>
          <w:p w14:paraId="573EB76D" w14:textId="338FBDC9" w:rsidR="00C32E98" w:rsidRPr="00B96B16" w:rsidRDefault="00C32E98"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2,222,865,733</w:t>
            </w:r>
          </w:p>
        </w:tc>
        <w:tc>
          <w:tcPr>
            <w:tcW w:w="2268" w:type="dxa"/>
          </w:tcPr>
          <w:p w14:paraId="1C0FAEEF" w14:textId="477BA9E5" w:rsidR="00C32E98" w:rsidRPr="00B96B16" w:rsidRDefault="00EA43B5"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0</w:t>
            </w:r>
          </w:p>
        </w:tc>
        <w:tc>
          <w:tcPr>
            <w:tcW w:w="1150" w:type="dxa"/>
          </w:tcPr>
          <w:p w14:paraId="20B6D49A" w14:textId="5754EDF8" w:rsidR="00C32E98" w:rsidRPr="00B96B16" w:rsidRDefault="00EA43B5"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0.0%</w:t>
            </w:r>
          </w:p>
        </w:tc>
      </w:tr>
      <w:tr w:rsidR="00C32E98" w:rsidRPr="00B96B16" w14:paraId="526950BB" w14:textId="77777777" w:rsidTr="00B9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FD5DBF5" w14:textId="534DCEA7" w:rsidR="00C32E98" w:rsidRPr="00B96B16" w:rsidRDefault="00C32E98" w:rsidP="00C32E98">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IEPS</w:t>
            </w:r>
          </w:p>
        </w:tc>
        <w:tc>
          <w:tcPr>
            <w:tcW w:w="1843" w:type="dxa"/>
          </w:tcPr>
          <w:p w14:paraId="6A63FE46" w14:textId="74E59968" w:rsidR="00C32E98" w:rsidRPr="00B96B16" w:rsidRDefault="00C32E98" w:rsidP="00EA43B5">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1,221,582,125</w:t>
            </w:r>
          </w:p>
        </w:tc>
        <w:tc>
          <w:tcPr>
            <w:tcW w:w="1985" w:type="dxa"/>
          </w:tcPr>
          <w:p w14:paraId="191EAD15" w14:textId="2C709858" w:rsidR="00C32E98" w:rsidRPr="00B96B16" w:rsidRDefault="00C32E98" w:rsidP="00EA43B5">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865,053,866</w:t>
            </w:r>
          </w:p>
        </w:tc>
        <w:tc>
          <w:tcPr>
            <w:tcW w:w="2268" w:type="dxa"/>
          </w:tcPr>
          <w:p w14:paraId="48E2B673" w14:textId="6E31A322" w:rsidR="00C32E98" w:rsidRPr="00B96B16" w:rsidRDefault="00EA43B5" w:rsidP="00EA43B5">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-356,528,259</w:t>
            </w:r>
          </w:p>
        </w:tc>
        <w:tc>
          <w:tcPr>
            <w:tcW w:w="1150" w:type="dxa"/>
          </w:tcPr>
          <w:p w14:paraId="3C7E3FFB" w14:textId="703A210D" w:rsidR="00C32E98" w:rsidRPr="00B96B16" w:rsidRDefault="00EA43B5" w:rsidP="00EA43B5">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-29.2%</w:t>
            </w:r>
          </w:p>
        </w:tc>
      </w:tr>
      <w:tr w:rsidR="00C32E98" w:rsidRPr="00B96B16" w14:paraId="42F62DC6" w14:textId="77777777" w:rsidTr="00B96B16">
        <w:tc>
          <w:tcPr>
            <w:cnfStyle w:val="001000000000" w:firstRow="0" w:lastRow="0" w:firstColumn="1" w:lastColumn="0" w:oddVBand="0" w:evenVBand="0" w:oddHBand="0" w:evenHBand="0" w:firstRowFirstColumn="0" w:firstRowLastColumn="0" w:lastRowFirstColumn="0" w:lastRowLastColumn="0"/>
            <w:tcW w:w="2263" w:type="dxa"/>
          </w:tcPr>
          <w:p w14:paraId="70124576" w14:textId="7946E369" w:rsidR="00C32E98" w:rsidRPr="00B96B16" w:rsidRDefault="00C32E98" w:rsidP="00C32E98">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IEPS GASOLINAS 9/11</w:t>
            </w:r>
          </w:p>
        </w:tc>
        <w:tc>
          <w:tcPr>
            <w:tcW w:w="1843" w:type="dxa"/>
          </w:tcPr>
          <w:p w14:paraId="07FFB462" w14:textId="273B1196" w:rsidR="00C32E98" w:rsidRPr="00B96B16" w:rsidRDefault="00C32E98"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1,991,037,869</w:t>
            </w:r>
          </w:p>
        </w:tc>
        <w:tc>
          <w:tcPr>
            <w:tcW w:w="1985" w:type="dxa"/>
          </w:tcPr>
          <w:p w14:paraId="77B7D875" w14:textId="76913704" w:rsidR="00C32E98" w:rsidRPr="00B96B16" w:rsidRDefault="00C32E98"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1,605,097,082</w:t>
            </w:r>
          </w:p>
        </w:tc>
        <w:tc>
          <w:tcPr>
            <w:tcW w:w="2268" w:type="dxa"/>
          </w:tcPr>
          <w:p w14:paraId="62F7FDEF" w14:textId="014C539B" w:rsidR="00C32E98" w:rsidRPr="00B96B16" w:rsidRDefault="00EA43B5"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-385,940,787</w:t>
            </w:r>
          </w:p>
        </w:tc>
        <w:tc>
          <w:tcPr>
            <w:tcW w:w="1150" w:type="dxa"/>
          </w:tcPr>
          <w:p w14:paraId="5ED5965C" w14:textId="0112E763" w:rsidR="00C32E98" w:rsidRPr="00B96B16" w:rsidRDefault="00EA43B5" w:rsidP="00EA43B5">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-19.4%</w:t>
            </w:r>
          </w:p>
        </w:tc>
      </w:tr>
    </w:tbl>
    <w:p w14:paraId="4367EAA0" w14:textId="77777777"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0A9BF155" w14:textId="77777777" w:rsidR="00C32E98" w:rsidRPr="005B3EAC" w:rsidRDefault="00C32E98" w:rsidP="00C32E9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479CDAD6" w14:textId="77777777" w:rsidR="007C7448" w:rsidRPr="005B3EAC" w:rsidRDefault="00EA43B5"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En el Estado de Jalisco, la Secretaría de la Hacienda Pública indica que para Jalisco, estas caídas se reflejan en las participaciones pagadas al Estado y a sus Municipios. El FGP tuvo una </w:t>
      </w:r>
      <w:r w:rsidRPr="005B3EAC">
        <w:rPr>
          <w:rFonts w:ascii="Cambria" w:eastAsia="Arial Unicode MS" w:hAnsi="Cambria" w:cs="Arial"/>
          <w:bCs/>
          <w:sz w:val="24"/>
          <w:szCs w:val="24"/>
          <w:bdr w:val="nil"/>
        </w:rPr>
        <w:lastRenderedPageBreak/>
        <w:t>disminución de 661.6 MDP respecto a lo programado que equivale a una caída de 17.1%. El FFM tuvo una caída de 24.2%, que equivale a 40.5 MDP. En el caso del FOFIR el anticipo mensual que se recibió en mayo, es conforme a lo programado, por lo que la caída se determinará al finalizar el presente trimestre.</w:t>
      </w:r>
      <w:r w:rsidR="007C7448" w:rsidRPr="005B3EAC">
        <w:rPr>
          <w:rFonts w:ascii="Cambria" w:eastAsia="Arial Unicode MS" w:hAnsi="Cambria" w:cs="Arial"/>
          <w:bCs/>
          <w:sz w:val="24"/>
          <w:szCs w:val="24"/>
          <w:bdr w:val="nil"/>
        </w:rPr>
        <w:t xml:space="preserve"> </w:t>
      </w:r>
    </w:p>
    <w:p w14:paraId="4FD4CCCE" w14:textId="77777777"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26328740" w14:textId="67840C32"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En cuanto a las participaciones de IEPS correspondientes a Jalisco, estas caen 27.7%, 28.9 MDP menos, mientras que las participaciones por IEPS de Gasolina y Diésel para Jalisco en mayo </w:t>
      </w:r>
      <w:r w:rsidRPr="005B3EAC">
        <w:rPr>
          <w:rFonts w:ascii="Cambria" w:eastAsia="Arial Unicode MS" w:hAnsi="Cambria" w:cs="Arial"/>
          <w:bCs/>
          <w:i/>
          <w:iCs/>
          <w:sz w:val="24"/>
          <w:szCs w:val="24"/>
          <w:bdr w:val="nil"/>
        </w:rPr>
        <w:t>disminuyeron 22.2% que equivalen a 32.4 MDP</w:t>
      </w:r>
      <w:r w:rsidRPr="005B3EAC">
        <w:rPr>
          <w:rFonts w:ascii="Cambria" w:eastAsia="Arial Unicode MS" w:hAnsi="Cambria" w:cs="Arial"/>
          <w:bCs/>
          <w:sz w:val="24"/>
          <w:szCs w:val="24"/>
          <w:bdr w:val="nil"/>
        </w:rPr>
        <w:t>.</w:t>
      </w:r>
    </w:p>
    <w:p w14:paraId="20DEC592" w14:textId="2275961D" w:rsidR="00EA43B5" w:rsidRPr="005B3EAC" w:rsidRDefault="00EA43B5" w:rsidP="00EA43B5">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140C8FB5" w14:textId="77777777" w:rsidR="00EA43B5" w:rsidRPr="005B3EAC" w:rsidRDefault="00EA43B5" w:rsidP="00EA43B5">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tbl>
      <w:tblPr>
        <w:tblStyle w:val="Tabladecuadrcula4-nfasis5"/>
        <w:tblW w:w="0" w:type="auto"/>
        <w:tblLook w:val="04A0" w:firstRow="1" w:lastRow="0" w:firstColumn="1" w:lastColumn="0" w:noHBand="0" w:noVBand="1"/>
      </w:tblPr>
      <w:tblGrid>
        <w:gridCol w:w="2263"/>
        <w:gridCol w:w="1843"/>
        <w:gridCol w:w="1985"/>
        <w:gridCol w:w="2268"/>
        <w:gridCol w:w="1150"/>
      </w:tblGrid>
      <w:tr w:rsidR="00EA43B5" w:rsidRPr="00B96B16" w14:paraId="1893098D" w14:textId="77777777" w:rsidTr="00B96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9" w:type="dxa"/>
            <w:gridSpan w:val="5"/>
          </w:tcPr>
          <w:p w14:paraId="3D44154D" w14:textId="081CF4F4" w:rsidR="00EA43B5" w:rsidRPr="00B96B16" w:rsidRDefault="00EA43B5" w:rsidP="00D94097">
            <w:pPr>
              <w:jc w:val="center"/>
              <w:rPr>
                <w:rFonts w:ascii="Cambria" w:eastAsia="Arial Unicode MS" w:hAnsi="Cambria" w:cs="Arial"/>
                <w:b w:val="0"/>
                <w:bCs w:val="0"/>
                <w:sz w:val="20"/>
                <w:szCs w:val="24"/>
                <w:bdr w:val="nil"/>
              </w:rPr>
            </w:pPr>
            <w:r w:rsidRPr="00B96B16">
              <w:rPr>
                <w:rFonts w:ascii="Cambria" w:eastAsia="Arial Unicode MS" w:hAnsi="Cambria" w:cs="Arial"/>
                <w:b w:val="0"/>
                <w:bCs w:val="0"/>
                <w:sz w:val="20"/>
                <w:szCs w:val="24"/>
                <w:bdr w:val="nil"/>
              </w:rPr>
              <w:t xml:space="preserve">JALISCO. </w:t>
            </w:r>
            <w:r w:rsidRPr="00B96B16">
              <w:rPr>
                <w:rFonts w:ascii="Cambria" w:eastAsia="Arial Unicode MS" w:hAnsi="Cambria" w:cs="Arial"/>
                <w:b w:val="0"/>
                <w:bCs w:val="0"/>
                <w:sz w:val="20"/>
                <w:szCs w:val="24"/>
                <w:bdr w:val="nil"/>
              </w:rPr>
              <w:t>PARTICIPACIO</w:t>
            </w:r>
            <w:r w:rsidRPr="00B96B16">
              <w:rPr>
                <w:rFonts w:ascii="Cambria" w:eastAsia="Arial Unicode MS" w:hAnsi="Cambria" w:cs="Arial"/>
                <w:b w:val="0"/>
                <w:bCs w:val="0"/>
                <w:sz w:val="20"/>
                <w:szCs w:val="24"/>
                <w:bdr w:val="nil"/>
              </w:rPr>
              <w:t xml:space="preserve">NES PAGADAS EN </w:t>
            </w:r>
            <w:r w:rsidRPr="00B96B16">
              <w:rPr>
                <w:rFonts w:ascii="Cambria" w:eastAsia="Arial Unicode MS" w:hAnsi="Cambria" w:cs="Arial"/>
                <w:b w:val="0"/>
                <w:bCs w:val="0"/>
                <w:sz w:val="20"/>
                <w:szCs w:val="24"/>
                <w:bdr w:val="nil"/>
              </w:rPr>
              <w:t xml:space="preserve"> MAYO 2020</w:t>
            </w:r>
          </w:p>
          <w:p w14:paraId="77F1F6B9" w14:textId="77777777" w:rsidR="00EA43B5" w:rsidRPr="00B96B16" w:rsidRDefault="00EA43B5" w:rsidP="00D94097">
            <w:pPr>
              <w:jc w:val="both"/>
              <w:rPr>
                <w:rFonts w:ascii="Cambria" w:eastAsia="Arial Unicode MS" w:hAnsi="Cambria" w:cs="Arial"/>
                <w:b w:val="0"/>
                <w:bCs w:val="0"/>
                <w:sz w:val="20"/>
                <w:szCs w:val="24"/>
                <w:bdr w:val="nil"/>
              </w:rPr>
            </w:pPr>
          </w:p>
        </w:tc>
      </w:tr>
      <w:tr w:rsidR="00EA43B5" w:rsidRPr="00B96B16" w14:paraId="09904ABE" w14:textId="77777777" w:rsidTr="00B9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E220E4" w14:textId="0231FE3E" w:rsidR="00EA43B5" w:rsidRPr="00B96B16" w:rsidRDefault="00EA43B5" w:rsidP="00D94097">
            <w:pPr>
              <w:jc w:val="center"/>
              <w:rPr>
                <w:rFonts w:ascii="Cambria" w:eastAsia="Arial Unicode MS" w:hAnsi="Cambria" w:cs="Arial"/>
                <w:b w:val="0"/>
                <w:bCs w:val="0"/>
                <w:sz w:val="20"/>
                <w:szCs w:val="24"/>
                <w:bdr w:val="nil"/>
              </w:rPr>
            </w:pPr>
          </w:p>
        </w:tc>
        <w:tc>
          <w:tcPr>
            <w:tcW w:w="1843" w:type="dxa"/>
          </w:tcPr>
          <w:p w14:paraId="0D14AD4A" w14:textId="467378CB" w:rsidR="00EA43B5" w:rsidRPr="00B96B16" w:rsidRDefault="00A068C3" w:rsidP="00D94097">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Programado</w:t>
            </w:r>
          </w:p>
        </w:tc>
        <w:tc>
          <w:tcPr>
            <w:tcW w:w="1985" w:type="dxa"/>
          </w:tcPr>
          <w:p w14:paraId="6D4896EB" w14:textId="7D0A444B" w:rsidR="00EA43B5" w:rsidRPr="00B96B16" w:rsidRDefault="00A068C3" w:rsidP="00D94097">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Pagado</w:t>
            </w:r>
          </w:p>
        </w:tc>
        <w:tc>
          <w:tcPr>
            <w:tcW w:w="2268" w:type="dxa"/>
          </w:tcPr>
          <w:p w14:paraId="14D2A791" w14:textId="06B117CF" w:rsidR="00EA43B5" w:rsidRPr="00B96B16" w:rsidRDefault="00A068C3" w:rsidP="00D94097">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Var</w:t>
            </w:r>
            <w:r w:rsidR="00EA43B5" w:rsidRPr="00B96B16">
              <w:rPr>
                <w:rFonts w:ascii="Cambria" w:eastAsia="Arial Unicode MS" w:hAnsi="Cambria" w:cs="Arial"/>
                <w:b/>
                <w:bCs/>
                <w:sz w:val="20"/>
                <w:szCs w:val="24"/>
                <w:bdr w:val="nil"/>
              </w:rPr>
              <w:t>. Absoluta</w:t>
            </w:r>
          </w:p>
        </w:tc>
        <w:tc>
          <w:tcPr>
            <w:tcW w:w="1150" w:type="dxa"/>
          </w:tcPr>
          <w:p w14:paraId="70731241" w14:textId="77777777" w:rsidR="00EA43B5" w:rsidRPr="00B96B16" w:rsidRDefault="00EA43B5" w:rsidP="00D94097">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Var%</w:t>
            </w:r>
          </w:p>
        </w:tc>
      </w:tr>
      <w:tr w:rsidR="00A068C3" w:rsidRPr="00B96B16" w14:paraId="06F641A5" w14:textId="77777777" w:rsidTr="00B96B16">
        <w:tc>
          <w:tcPr>
            <w:cnfStyle w:val="001000000000" w:firstRow="0" w:lastRow="0" w:firstColumn="1" w:lastColumn="0" w:oddVBand="0" w:evenVBand="0" w:oddHBand="0" w:evenHBand="0" w:firstRowFirstColumn="0" w:firstRowLastColumn="0" w:lastRowFirstColumn="0" w:lastRowLastColumn="0"/>
            <w:tcW w:w="2263" w:type="dxa"/>
          </w:tcPr>
          <w:p w14:paraId="2FCDC539" w14:textId="52F33709" w:rsidR="00A068C3" w:rsidRPr="00B96B16" w:rsidRDefault="00A068C3" w:rsidP="00A068C3">
            <w:pPr>
              <w:rPr>
                <w:rFonts w:ascii="Cambria" w:eastAsia="Arial Unicode MS" w:hAnsi="Cambria" w:cs="Arial"/>
                <w:b w:val="0"/>
                <w:bCs w:val="0"/>
                <w:sz w:val="20"/>
                <w:szCs w:val="24"/>
                <w:bdr w:val="nil"/>
              </w:rPr>
            </w:pPr>
            <w:r w:rsidRPr="00B96B16">
              <w:rPr>
                <w:rFonts w:ascii="Cambria" w:eastAsia="Arial Unicode MS" w:hAnsi="Cambria" w:cs="Arial"/>
                <w:b w:val="0"/>
                <w:bCs w:val="0"/>
                <w:sz w:val="20"/>
                <w:szCs w:val="24"/>
                <w:bdr w:val="nil"/>
              </w:rPr>
              <w:t>FONDOS</w:t>
            </w:r>
          </w:p>
        </w:tc>
        <w:tc>
          <w:tcPr>
            <w:tcW w:w="1843" w:type="dxa"/>
          </w:tcPr>
          <w:p w14:paraId="0413E298" w14:textId="22491DF4" w:rsidR="00A068C3" w:rsidRPr="00B96B16" w:rsidRDefault="00A068C3" w:rsidP="00D94097">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Cs/>
                <w:sz w:val="20"/>
                <w:szCs w:val="24"/>
                <w:bdr w:val="nil"/>
              </w:rPr>
              <w:t>4.419,376,850</w:t>
            </w:r>
          </w:p>
        </w:tc>
        <w:tc>
          <w:tcPr>
            <w:tcW w:w="1985" w:type="dxa"/>
          </w:tcPr>
          <w:p w14:paraId="09E88E41" w14:textId="3A9775B9" w:rsidR="00A068C3" w:rsidRPr="00B96B16" w:rsidRDefault="007C7448" w:rsidP="00D94097">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3655,856,127</w:t>
            </w:r>
          </w:p>
        </w:tc>
        <w:tc>
          <w:tcPr>
            <w:tcW w:w="2268" w:type="dxa"/>
          </w:tcPr>
          <w:p w14:paraId="39A60D75" w14:textId="1C5D1762" w:rsidR="00A068C3" w:rsidRPr="00B96B16" w:rsidRDefault="007C7448" w:rsidP="00D94097">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-763,520,763</w:t>
            </w:r>
          </w:p>
        </w:tc>
        <w:tc>
          <w:tcPr>
            <w:tcW w:w="1150" w:type="dxa"/>
          </w:tcPr>
          <w:p w14:paraId="325F2409" w14:textId="3A56C259" w:rsidR="00A068C3" w:rsidRPr="00B96B16" w:rsidRDefault="007C7448" w:rsidP="00D94097">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
                <w:bCs/>
                <w:sz w:val="20"/>
                <w:szCs w:val="24"/>
                <w:bdr w:val="nil"/>
              </w:rPr>
            </w:pPr>
            <w:r w:rsidRPr="00B96B16">
              <w:rPr>
                <w:rFonts w:ascii="Cambria" w:eastAsia="Arial Unicode MS" w:hAnsi="Cambria" w:cs="Arial"/>
                <w:b/>
                <w:bCs/>
                <w:sz w:val="20"/>
                <w:szCs w:val="24"/>
                <w:bdr w:val="nil"/>
              </w:rPr>
              <w:t>-17.3%</w:t>
            </w:r>
          </w:p>
        </w:tc>
      </w:tr>
      <w:tr w:rsidR="00EA43B5" w:rsidRPr="00B96B16" w14:paraId="086747FA" w14:textId="77777777" w:rsidTr="00B9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9009B3" w14:textId="77777777" w:rsidR="00EA43B5" w:rsidRPr="00B96B16" w:rsidRDefault="00EA43B5" w:rsidP="00D94097">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FGP</w:t>
            </w:r>
          </w:p>
        </w:tc>
        <w:tc>
          <w:tcPr>
            <w:tcW w:w="1843" w:type="dxa"/>
          </w:tcPr>
          <w:p w14:paraId="53D11E73" w14:textId="2A64B74C" w:rsidR="00EA43B5" w:rsidRPr="00B96B16" w:rsidRDefault="00A068C3" w:rsidP="00A068C3">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3,876,561,652</w:t>
            </w:r>
          </w:p>
        </w:tc>
        <w:tc>
          <w:tcPr>
            <w:tcW w:w="1985" w:type="dxa"/>
          </w:tcPr>
          <w:p w14:paraId="1889F686" w14:textId="6522830A" w:rsidR="00EA43B5" w:rsidRPr="00B96B16" w:rsidRDefault="007C7448"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3,214,912,995</w:t>
            </w:r>
          </w:p>
        </w:tc>
        <w:tc>
          <w:tcPr>
            <w:tcW w:w="2268" w:type="dxa"/>
          </w:tcPr>
          <w:p w14:paraId="7FC336DC" w14:textId="14D86D8D" w:rsidR="00EA43B5" w:rsidRPr="00B96B16" w:rsidRDefault="007C7448"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-661,648,657</w:t>
            </w:r>
          </w:p>
        </w:tc>
        <w:tc>
          <w:tcPr>
            <w:tcW w:w="1150" w:type="dxa"/>
          </w:tcPr>
          <w:p w14:paraId="7F1CA15C" w14:textId="77777777" w:rsidR="00EA43B5" w:rsidRPr="00B96B16" w:rsidRDefault="00EA43B5"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-17.1%</w:t>
            </w:r>
          </w:p>
        </w:tc>
      </w:tr>
      <w:tr w:rsidR="00EA43B5" w:rsidRPr="00B96B16" w14:paraId="0846B390" w14:textId="77777777" w:rsidTr="00B96B16">
        <w:tc>
          <w:tcPr>
            <w:cnfStyle w:val="001000000000" w:firstRow="0" w:lastRow="0" w:firstColumn="1" w:lastColumn="0" w:oddVBand="0" w:evenVBand="0" w:oddHBand="0" w:evenHBand="0" w:firstRowFirstColumn="0" w:firstRowLastColumn="0" w:lastRowFirstColumn="0" w:lastRowLastColumn="0"/>
            <w:tcW w:w="2263" w:type="dxa"/>
          </w:tcPr>
          <w:p w14:paraId="7D40F78A" w14:textId="77777777" w:rsidR="00EA43B5" w:rsidRPr="00B96B16" w:rsidRDefault="00EA43B5" w:rsidP="00D94097">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FFM</w:t>
            </w:r>
          </w:p>
        </w:tc>
        <w:tc>
          <w:tcPr>
            <w:tcW w:w="1843" w:type="dxa"/>
          </w:tcPr>
          <w:p w14:paraId="40657267" w14:textId="62D4B455" w:rsidR="00EA43B5" w:rsidRPr="00B96B16" w:rsidRDefault="00A068C3" w:rsidP="00D94097">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167,431,766</w:t>
            </w:r>
          </w:p>
        </w:tc>
        <w:tc>
          <w:tcPr>
            <w:tcW w:w="1985" w:type="dxa"/>
          </w:tcPr>
          <w:p w14:paraId="0EE2AA45" w14:textId="34323767" w:rsidR="00EA43B5" w:rsidRPr="00B96B16" w:rsidRDefault="007C7448" w:rsidP="00D94097">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126,909,472</w:t>
            </w:r>
          </w:p>
        </w:tc>
        <w:tc>
          <w:tcPr>
            <w:tcW w:w="2268" w:type="dxa"/>
          </w:tcPr>
          <w:p w14:paraId="28AACC2B" w14:textId="77A0630E" w:rsidR="00EA43B5" w:rsidRPr="00B96B16" w:rsidRDefault="007C7448" w:rsidP="00D94097">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-40,522,294</w:t>
            </w:r>
          </w:p>
        </w:tc>
        <w:tc>
          <w:tcPr>
            <w:tcW w:w="1150" w:type="dxa"/>
          </w:tcPr>
          <w:p w14:paraId="3B6762D1" w14:textId="434010B8" w:rsidR="00EA43B5" w:rsidRPr="00B96B16" w:rsidRDefault="007C7448" w:rsidP="00D94097">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-24.2</w:t>
            </w:r>
            <w:r w:rsidR="00EA43B5" w:rsidRPr="00B96B16">
              <w:rPr>
                <w:rFonts w:ascii="Cambria" w:eastAsia="Arial Unicode MS" w:hAnsi="Cambria" w:cs="Arial"/>
                <w:bCs/>
                <w:sz w:val="20"/>
                <w:szCs w:val="24"/>
                <w:bdr w:val="nil"/>
              </w:rPr>
              <w:t>%</w:t>
            </w:r>
          </w:p>
        </w:tc>
      </w:tr>
      <w:tr w:rsidR="00EA43B5" w:rsidRPr="00B96B16" w14:paraId="158D32DB" w14:textId="77777777" w:rsidTr="00B9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B63414E" w14:textId="77777777" w:rsidR="00EA43B5" w:rsidRPr="00B96B16" w:rsidRDefault="00EA43B5" w:rsidP="00D94097">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FOFIR</w:t>
            </w:r>
          </w:p>
        </w:tc>
        <w:tc>
          <w:tcPr>
            <w:tcW w:w="1843" w:type="dxa"/>
          </w:tcPr>
          <w:p w14:paraId="49CD0455" w14:textId="56C832A4" w:rsidR="00EA43B5" w:rsidRPr="00B96B16" w:rsidRDefault="00A068C3"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124,569,418</w:t>
            </w:r>
          </w:p>
        </w:tc>
        <w:tc>
          <w:tcPr>
            <w:tcW w:w="1985" w:type="dxa"/>
          </w:tcPr>
          <w:p w14:paraId="592C1728" w14:textId="39EB9B4F" w:rsidR="00EA43B5" w:rsidRPr="00B96B16" w:rsidRDefault="007C7448"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124,569,418</w:t>
            </w:r>
          </w:p>
        </w:tc>
        <w:tc>
          <w:tcPr>
            <w:tcW w:w="2268" w:type="dxa"/>
          </w:tcPr>
          <w:p w14:paraId="0B81310D" w14:textId="77777777" w:rsidR="00EA43B5" w:rsidRPr="00B96B16" w:rsidRDefault="00EA43B5"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0</w:t>
            </w:r>
          </w:p>
        </w:tc>
        <w:tc>
          <w:tcPr>
            <w:tcW w:w="1150" w:type="dxa"/>
          </w:tcPr>
          <w:p w14:paraId="76437931" w14:textId="77777777" w:rsidR="00EA43B5" w:rsidRPr="00B96B16" w:rsidRDefault="00EA43B5"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0.0%</w:t>
            </w:r>
          </w:p>
        </w:tc>
      </w:tr>
      <w:tr w:rsidR="00EA43B5" w:rsidRPr="00B96B16" w14:paraId="2837ED41" w14:textId="77777777" w:rsidTr="00B96B16">
        <w:tc>
          <w:tcPr>
            <w:cnfStyle w:val="001000000000" w:firstRow="0" w:lastRow="0" w:firstColumn="1" w:lastColumn="0" w:oddVBand="0" w:evenVBand="0" w:oddHBand="0" w:evenHBand="0" w:firstRowFirstColumn="0" w:firstRowLastColumn="0" w:lastRowFirstColumn="0" w:lastRowLastColumn="0"/>
            <w:tcW w:w="2263" w:type="dxa"/>
          </w:tcPr>
          <w:p w14:paraId="64E4BE51" w14:textId="77777777" w:rsidR="00EA43B5" w:rsidRPr="00B96B16" w:rsidRDefault="00EA43B5" w:rsidP="00D94097">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IEPS</w:t>
            </w:r>
          </w:p>
        </w:tc>
        <w:tc>
          <w:tcPr>
            <w:tcW w:w="1843" w:type="dxa"/>
          </w:tcPr>
          <w:p w14:paraId="3666238F" w14:textId="594BB05E" w:rsidR="00EA43B5" w:rsidRPr="00B96B16" w:rsidRDefault="00A068C3" w:rsidP="00D94097">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104,413,388</w:t>
            </w:r>
          </w:p>
        </w:tc>
        <w:tc>
          <w:tcPr>
            <w:tcW w:w="1985" w:type="dxa"/>
          </w:tcPr>
          <w:p w14:paraId="076F01A4" w14:textId="2F03D307" w:rsidR="00EA43B5" w:rsidRPr="00B96B16" w:rsidRDefault="007C7448" w:rsidP="00D94097">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75,502,725</w:t>
            </w:r>
          </w:p>
        </w:tc>
        <w:tc>
          <w:tcPr>
            <w:tcW w:w="2268" w:type="dxa"/>
          </w:tcPr>
          <w:p w14:paraId="489E9824" w14:textId="01541EC0" w:rsidR="00EA43B5" w:rsidRPr="00B96B16" w:rsidRDefault="007C7448" w:rsidP="00D94097">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-28,910,663</w:t>
            </w:r>
          </w:p>
        </w:tc>
        <w:tc>
          <w:tcPr>
            <w:tcW w:w="1150" w:type="dxa"/>
          </w:tcPr>
          <w:p w14:paraId="073F7353" w14:textId="298FF743" w:rsidR="00EA43B5" w:rsidRPr="00B96B16" w:rsidRDefault="007C7448" w:rsidP="00D94097">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-27.7</w:t>
            </w:r>
            <w:r w:rsidR="00EA43B5" w:rsidRPr="00B96B16">
              <w:rPr>
                <w:rFonts w:ascii="Cambria" w:eastAsia="Arial Unicode MS" w:hAnsi="Cambria" w:cs="Arial"/>
                <w:bCs/>
                <w:sz w:val="20"/>
                <w:szCs w:val="24"/>
                <w:bdr w:val="nil"/>
              </w:rPr>
              <w:t>%</w:t>
            </w:r>
          </w:p>
        </w:tc>
      </w:tr>
      <w:tr w:rsidR="00EA43B5" w:rsidRPr="00B96B16" w14:paraId="7BAD7143" w14:textId="77777777" w:rsidTr="00B9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958FA3" w14:textId="77777777" w:rsidR="00EA43B5" w:rsidRPr="00B96B16" w:rsidRDefault="00EA43B5" w:rsidP="00D94097">
            <w:pPr>
              <w:jc w:val="both"/>
              <w:rPr>
                <w:rFonts w:ascii="Cambria" w:eastAsia="Arial Unicode MS" w:hAnsi="Cambria" w:cs="Arial"/>
                <w:bCs w:val="0"/>
                <w:sz w:val="20"/>
                <w:szCs w:val="24"/>
                <w:bdr w:val="nil"/>
              </w:rPr>
            </w:pPr>
            <w:r w:rsidRPr="00B96B16">
              <w:rPr>
                <w:rFonts w:ascii="Cambria" w:eastAsia="Arial Unicode MS" w:hAnsi="Cambria" w:cs="Arial"/>
                <w:bCs w:val="0"/>
                <w:sz w:val="20"/>
                <w:szCs w:val="24"/>
                <w:bdr w:val="nil"/>
              </w:rPr>
              <w:t>IEPS GASOLINAS 9/11</w:t>
            </w:r>
          </w:p>
        </w:tc>
        <w:tc>
          <w:tcPr>
            <w:tcW w:w="1843" w:type="dxa"/>
          </w:tcPr>
          <w:p w14:paraId="78B41C74" w14:textId="4E48BEE8" w:rsidR="00EA43B5" w:rsidRPr="00B96B16" w:rsidRDefault="00A068C3"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146,400,626</w:t>
            </w:r>
          </w:p>
        </w:tc>
        <w:tc>
          <w:tcPr>
            <w:tcW w:w="1985" w:type="dxa"/>
          </w:tcPr>
          <w:p w14:paraId="30B48FD8" w14:textId="28674209" w:rsidR="00EA43B5" w:rsidRPr="00B96B16" w:rsidRDefault="007C7448"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113,961,517</w:t>
            </w:r>
          </w:p>
        </w:tc>
        <w:tc>
          <w:tcPr>
            <w:tcW w:w="2268" w:type="dxa"/>
          </w:tcPr>
          <w:p w14:paraId="19FF1522" w14:textId="085ABA98" w:rsidR="00EA43B5" w:rsidRPr="00B96B16" w:rsidRDefault="007C7448"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-32,439,109</w:t>
            </w:r>
          </w:p>
        </w:tc>
        <w:tc>
          <w:tcPr>
            <w:tcW w:w="1150" w:type="dxa"/>
          </w:tcPr>
          <w:p w14:paraId="69DA6DA6" w14:textId="0DCA1259" w:rsidR="00EA43B5" w:rsidRPr="00B96B16" w:rsidRDefault="007C7448" w:rsidP="00D94097">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szCs w:val="24"/>
                <w:bdr w:val="nil"/>
              </w:rPr>
            </w:pPr>
            <w:r w:rsidRPr="00B96B16">
              <w:rPr>
                <w:rFonts w:ascii="Cambria" w:eastAsia="Arial Unicode MS" w:hAnsi="Cambria" w:cs="Arial"/>
                <w:bCs/>
                <w:sz w:val="20"/>
                <w:szCs w:val="24"/>
                <w:bdr w:val="nil"/>
              </w:rPr>
              <w:t>-22.2</w:t>
            </w:r>
            <w:r w:rsidR="00EA43B5" w:rsidRPr="00B96B16">
              <w:rPr>
                <w:rFonts w:ascii="Cambria" w:eastAsia="Arial Unicode MS" w:hAnsi="Cambria" w:cs="Arial"/>
                <w:bCs/>
                <w:sz w:val="20"/>
                <w:szCs w:val="24"/>
                <w:bdr w:val="nil"/>
              </w:rPr>
              <w:t>%</w:t>
            </w:r>
          </w:p>
        </w:tc>
      </w:tr>
    </w:tbl>
    <w:p w14:paraId="40F1DCEF" w14:textId="77777777" w:rsidR="00EA43B5" w:rsidRPr="005B3EAC" w:rsidRDefault="00EA43B5" w:rsidP="00EA43B5">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73848877" w14:textId="77777777" w:rsidR="007C7448" w:rsidRPr="005B3EAC" w:rsidRDefault="007C7448" w:rsidP="00EA43B5">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1E37E1B2" w14:textId="3064DE1C"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Potenciación FEIEF Fondo de Estabilización de Ingresos de Las </w:t>
      </w:r>
      <w:r w:rsidRPr="005B3EAC">
        <w:rPr>
          <w:rFonts w:ascii="Cambria" w:eastAsia="Arial Unicode MS" w:hAnsi="Cambria" w:cs="Arial"/>
          <w:bCs/>
          <w:sz w:val="24"/>
          <w:szCs w:val="24"/>
          <w:bdr w:val="nil"/>
        </w:rPr>
        <w:t xml:space="preserve">Entidades Federativas (ANEXO B) </w:t>
      </w:r>
      <w:r w:rsidRPr="005B3EAC">
        <w:rPr>
          <w:rFonts w:ascii="Cambria" w:eastAsia="Arial Unicode MS" w:hAnsi="Cambria" w:cs="Arial"/>
          <w:bCs/>
          <w:sz w:val="24"/>
          <w:szCs w:val="24"/>
          <w:bdr w:val="nil"/>
        </w:rPr>
        <w:t>En la reunión de la Comisión Permanente de Funcionarios Fiscales CPFF celebrada el pas</w:t>
      </w:r>
      <w:r w:rsidRPr="005B3EAC">
        <w:rPr>
          <w:rFonts w:ascii="Cambria" w:eastAsia="Arial Unicode MS" w:hAnsi="Cambria" w:cs="Arial"/>
          <w:bCs/>
          <w:sz w:val="24"/>
          <w:szCs w:val="24"/>
          <w:bdr w:val="nil"/>
        </w:rPr>
        <w:t xml:space="preserve">ado miércoles 13 del actual, la </w:t>
      </w:r>
      <w:r w:rsidRPr="005B3EAC">
        <w:rPr>
          <w:rFonts w:ascii="Cambria" w:eastAsia="Arial Unicode MS" w:hAnsi="Cambria" w:cs="Arial"/>
          <w:bCs/>
          <w:sz w:val="24"/>
          <w:szCs w:val="24"/>
          <w:bdr w:val="nil"/>
        </w:rPr>
        <w:t>Unidad de Coordinación con las Entidades Federativas UCEF presentó el esquema de p</w:t>
      </w:r>
      <w:r w:rsidRPr="005B3EAC">
        <w:rPr>
          <w:rFonts w:ascii="Cambria" w:eastAsia="Arial Unicode MS" w:hAnsi="Cambria" w:cs="Arial"/>
          <w:bCs/>
          <w:sz w:val="24"/>
          <w:szCs w:val="24"/>
          <w:bdr w:val="nil"/>
        </w:rPr>
        <w:t xml:space="preserve">otenciación del FEIEF, bajo las </w:t>
      </w:r>
      <w:r w:rsidRPr="005B3EAC">
        <w:rPr>
          <w:rFonts w:ascii="Cambria" w:eastAsia="Arial Unicode MS" w:hAnsi="Cambria" w:cs="Arial"/>
          <w:bCs/>
          <w:sz w:val="24"/>
          <w:szCs w:val="24"/>
          <w:bdr w:val="nil"/>
        </w:rPr>
        <w:t>condiciones económicas:</w:t>
      </w:r>
    </w:p>
    <w:p w14:paraId="28A9AF05" w14:textId="77777777"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60DA2F6C" w14:textId="77777777"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Para 2020 se espera una caída hasta 89 mil MDP en las participaciones</w:t>
      </w:r>
    </w:p>
    <w:p w14:paraId="2D5A2032" w14:textId="77777777"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El saldo actual del FEIEF es de 63 mil MDP</w:t>
      </w:r>
    </w:p>
    <w:p w14:paraId="0EC05FA4" w14:textId="77777777"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7A9C5EC6" w14:textId="4B8D81FB"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
          <w:bCs/>
          <w:sz w:val="24"/>
          <w:szCs w:val="24"/>
          <w:bdr w:val="nil"/>
        </w:rPr>
        <w:t xml:space="preserve">Objetivo. </w:t>
      </w:r>
      <w:r w:rsidRPr="005B3EAC">
        <w:rPr>
          <w:rFonts w:ascii="Cambria" w:eastAsia="Arial Unicode MS" w:hAnsi="Cambria" w:cs="Arial"/>
          <w:bCs/>
          <w:sz w:val="24"/>
          <w:szCs w:val="24"/>
          <w:bdr w:val="nil"/>
        </w:rPr>
        <w:t>Incrementar los recursos del FEIEF en 70 mil MDP, para compensar la caída d</w:t>
      </w:r>
      <w:r w:rsidRPr="005B3EAC">
        <w:rPr>
          <w:rFonts w:ascii="Cambria" w:eastAsia="Arial Unicode MS" w:hAnsi="Cambria" w:cs="Arial"/>
          <w:bCs/>
          <w:sz w:val="24"/>
          <w:szCs w:val="24"/>
          <w:bdr w:val="nil"/>
        </w:rPr>
        <w:t xml:space="preserve">e participaciones y proveer una </w:t>
      </w:r>
      <w:r w:rsidRPr="005B3EAC">
        <w:rPr>
          <w:rFonts w:ascii="Cambria" w:eastAsia="Arial Unicode MS" w:hAnsi="Cambria" w:cs="Arial"/>
          <w:bCs/>
          <w:sz w:val="24"/>
          <w:szCs w:val="24"/>
          <w:bdr w:val="nil"/>
        </w:rPr>
        <w:t>reserva por 39 mil MDP para el Ejercicio Fiscal 2021.</w:t>
      </w:r>
    </w:p>
    <w:p w14:paraId="0521C7CF" w14:textId="77777777"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1928CF04" w14:textId="087AEF33" w:rsidR="007C7448" w:rsidRPr="005B3EAC" w:rsidRDefault="001D17EF"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El Gobierno del Estado de Jalisco,</w:t>
      </w:r>
      <w:r w:rsidR="007C7448" w:rsidRPr="005B3EAC">
        <w:rPr>
          <w:rFonts w:ascii="Cambria" w:eastAsia="Arial Unicode MS" w:hAnsi="Cambria" w:cs="Arial"/>
          <w:bCs/>
          <w:sz w:val="24"/>
          <w:szCs w:val="24"/>
          <w:bdr w:val="nil"/>
        </w:rPr>
        <w:t xml:space="preserve"> solicitó a la UCEF que se realizaran las gestiones ante la SHCP, para que se adecuaran</w:t>
      </w:r>
      <w:r w:rsidR="007C7448" w:rsidRPr="005B3EAC">
        <w:rPr>
          <w:rFonts w:ascii="Cambria" w:eastAsia="Arial Unicode MS" w:hAnsi="Cambria" w:cs="Arial"/>
          <w:bCs/>
          <w:sz w:val="24"/>
          <w:szCs w:val="24"/>
          <w:bdr w:val="nil"/>
        </w:rPr>
        <w:t xml:space="preserve"> las reglas de distribución del </w:t>
      </w:r>
      <w:r w:rsidR="007C7448" w:rsidRPr="005B3EAC">
        <w:rPr>
          <w:rFonts w:ascii="Cambria" w:eastAsia="Arial Unicode MS" w:hAnsi="Cambria" w:cs="Arial"/>
          <w:bCs/>
          <w:sz w:val="24"/>
          <w:szCs w:val="24"/>
          <w:bdr w:val="nil"/>
        </w:rPr>
        <w:t xml:space="preserve">FEIEF, ya que actualmente se distribuye de forma trimestral, garantizando únicamente </w:t>
      </w:r>
      <w:r w:rsidR="007C7448" w:rsidRPr="005B3EAC">
        <w:rPr>
          <w:rFonts w:ascii="Cambria" w:eastAsia="Arial Unicode MS" w:hAnsi="Cambria" w:cs="Arial"/>
          <w:bCs/>
          <w:sz w:val="24"/>
          <w:szCs w:val="24"/>
          <w:bdr w:val="nil"/>
        </w:rPr>
        <w:t xml:space="preserve">el 75% de la disminución de los </w:t>
      </w:r>
      <w:r w:rsidR="007C7448" w:rsidRPr="005B3EAC">
        <w:rPr>
          <w:rFonts w:ascii="Cambria" w:eastAsia="Arial Unicode MS" w:hAnsi="Cambria" w:cs="Arial"/>
          <w:bCs/>
          <w:sz w:val="24"/>
          <w:szCs w:val="24"/>
          <w:bdr w:val="nil"/>
        </w:rPr>
        <w:t>fondos que cubre el Fondo (FGP, FFM, FOFIR), para que los fondos se pudieran distrib</w:t>
      </w:r>
      <w:r w:rsidR="007C7448" w:rsidRPr="005B3EAC">
        <w:rPr>
          <w:rFonts w:ascii="Cambria" w:eastAsia="Arial Unicode MS" w:hAnsi="Cambria" w:cs="Arial"/>
          <w:bCs/>
          <w:sz w:val="24"/>
          <w:szCs w:val="24"/>
          <w:bdr w:val="nil"/>
        </w:rPr>
        <w:t xml:space="preserve">uir de forma mensual y se cubra </w:t>
      </w:r>
      <w:r w:rsidR="007C7448" w:rsidRPr="005B3EAC">
        <w:rPr>
          <w:rFonts w:ascii="Cambria" w:eastAsia="Arial Unicode MS" w:hAnsi="Cambria" w:cs="Arial"/>
          <w:bCs/>
          <w:sz w:val="24"/>
          <w:szCs w:val="24"/>
          <w:bdr w:val="nil"/>
        </w:rPr>
        <w:t>el 100% de la disminución de las participaciones (para no afectar la liquidez).</w:t>
      </w:r>
    </w:p>
    <w:p w14:paraId="3B1F88EE" w14:textId="77777777"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3E743ABC" w14:textId="586EEF2E" w:rsidR="007C7448" w:rsidRPr="005B3EAC" w:rsidRDefault="007C7448" w:rsidP="007C74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 xml:space="preserve">Cabe señalar que las participaciones se distribuyen con los datos de las declaraciones </w:t>
      </w:r>
      <w:r w:rsidRPr="005B3EAC">
        <w:rPr>
          <w:rFonts w:ascii="Cambria" w:eastAsia="Arial Unicode MS" w:hAnsi="Cambria" w:cs="Arial"/>
          <w:bCs/>
          <w:sz w:val="24"/>
          <w:szCs w:val="24"/>
          <w:bdr w:val="nil"/>
        </w:rPr>
        <w:t xml:space="preserve">presentadas en el mes inmediato </w:t>
      </w:r>
      <w:r w:rsidRPr="005B3EAC">
        <w:rPr>
          <w:rFonts w:ascii="Cambria" w:eastAsia="Arial Unicode MS" w:hAnsi="Cambria" w:cs="Arial"/>
          <w:bCs/>
          <w:sz w:val="24"/>
          <w:szCs w:val="24"/>
          <w:bdr w:val="nil"/>
        </w:rPr>
        <w:t xml:space="preserve">anterior, que, a su vez, reflejan la actividad económica del </w:t>
      </w:r>
      <w:r w:rsidRPr="005B3EAC">
        <w:rPr>
          <w:rFonts w:ascii="Cambria" w:eastAsia="Arial Unicode MS" w:hAnsi="Cambria" w:cs="Arial"/>
          <w:bCs/>
          <w:sz w:val="24"/>
          <w:szCs w:val="24"/>
          <w:bdr w:val="nil"/>
        </w:rPr>
        <w:lastRenderedPageBreak/>
        <w:t>penúltimo mes, es decir,</w:t>
      </w:r>
      <w:r w:rsidRPr="005B3EAC">
        <w:rPr>
          <w:rFonts w:ascii="Cambria" w:eastAsia="Arial Unicode MS" w:hAnsi="Cambria" w:cs="Arial"/>
          <w:bCs/>
          <w:sz w:val="24"/>
          <w:szCs w:val="24"/>
          <w:bdr w:val="nil"/>
        </w:rPr>
        <w:t xml:space="preserve"> las participaciones del mes de </w:t>
      </w:r>
      <w:r w:rsidRPr="005B3EAC">
        <w:rPr>
          <w:rFonts w:ascii="Cambria" w:eastAsia="Arial Unicode MS" w:hAnsi="Cambria" w:cs="Arial"/>
          <w:bCs/>
          <w:sz w:val="24"/>
          <w:szCs w:val="24"/>
          <w:bdr w:val="nil"/>
        </w:rPr>
        <w:t>mayo, se calcularon con los datos de las declaraciones presentadas en el mes de abril, las cuales</w:t>
      </w:r>
      <w:r w:rsidRPr="005B3EAC">
        <w:rPr>
          <w:rFonts w:ascii="Cambria" w:eastAsia="Arial Unicode MS" w:hAnsi="Cambria" w:cs="Arial"/>
          <w:bCs/>
          <w:sz w:val="24"/>
          <w:szCs w:val="24"/>
          <w:bdr w:val="nil"/>
        </w:rPr>
        <w:t xml:space="preserve">, son el reflejo de la actividad </w:t>
      </w:r>
      <w:r w:rsidRPr="005B3EAC">
        <w:rPr>
          <w:rFonts w:ascii="Cambria" w:eastAsia="Arial Unicode MS" w:hAnsi="Cambria" w:cs="Arial"/>
          <w:bCs/>
          <w:sz w:val="24"/>
          <w:szCs w:val="24"/>
          <w:bdr w:val="nil"/>
        </w:rPr>
        <w:t>económica del mes de febrero.</w:t>
      </w:r>
    </w:p>
    <w:p w14:paraId="7C7AA289" w14:textId="77777777" w:rsidR="001D17EF" w:rsidRPr="005B3EAC" w:rsidRDefault="001D17EF" w:rsidP="001D17EF">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7EF55DA2" w14:textId="1AD8ADD5" w:rsidR="001D17EF" w:rsidRPr="005B3EAC" w:rsidRDefault="001D17EF" w:rsidP="001D17EF">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Se espera que el efecto económico de la pandemia se refleje en los próximos meses, ya que como mencionamos en el párrafo anterior, existe un desfase de dos meses, entre la actividad económica y la distribución de las participaciones; por lo tanto, esperamos una caída importante, y en su caso la activación del FEIEF, con las modificaciones solicitadas a la</w:t>
      </w:r>
    </w:p>
    <w:p w14:paraId="2615FC46" w14:textId="77777777" w:rsidR="001D17EF" w:rsidRPr="005B3EAC" w:rsidRDefault="001D17EF" w:rsidP="001D17EF">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SHCP.</w:t>
      </w:r>
    </w:p>
    <w:p w14:paraId="2D75E146" w14:textId="77777777" w:rsidR="001D17EF" w:rsidRPr="005B3EAC" w:rsidRDefault="001D17EF" w:rsidP="001D17EF">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032AAE43" w14:textId="1E4FF51A" w:rsidR="00EA43B5" w:rsidRPr="005B3EAC" w:rsidRDefault="001D17EF" w:rsidP="00EA43B5">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r w:rsidRPr="005B3EAC">
        <w:rPr>
          <w:rFonts w:ascii="Cambria" w:eastAsia="Arial Unicode MS" w:hAnsi="Cambria" w:cs="Arial"/>
          <w:bCs/>
          <w:sz w:val="24"/>
          <w:szCs w:val="24"/>
          <w:bdr w:val="nil"/>
        </w:rPr>
        <w:t xml:space="preserve">Dadas las condiciones actuales y los escenarios económicos a Nivel Global y en el País (que se observan y describen en el Anexo A), </w:t>
      </w:r>
      <w:r w:rsidRPr="005B3EAC">
        <w:rPr>
          <w:rFonts w:ascii="Cambria" w:eastAsia="Arial Unicode MS" w:hAnsi="Cambria" w:cs="Arial"/>
          <w:b/>
          <w:bCs/>
          <w:sz w:val="24"/>
          <w:szCs w:val="24"/>
          <w:bdr w:val="nil"/>
        </w:rPr>
        <w:t>se recomienda mucha cautela en el manejo de las finanzas municipales y, en su caso, considerar las contenciones de gasto necesarias.</w:t>
      </w:r>
    </w:p>
    <w:p w14:paraId="647A4467" w14:textId="77777777" w:rsidR="00753632" w:rsidRPr="005B3EAC" w:rsidRDefault="00753632" w:rsidP="00250148">
      <w:pPr>
        <w:pBdr>
          <w:top w:val="nil"/>
          <w:left w:val="nil"/>
          <w:bottom w:val="nil"/>
          <w:right w:val="nil"/>
          <w:between w:val="nil"/>
          <w:bar w:val="nil"/>
        </w:pBdr>
        <w:spacing w:after="0" w:line="240" w:lineRule="auto"/>
        <w:jc w:val="both"/>
        <w:rPr>
          <w:rFonts w:ascii="Cambria" w:eastAsia="Arial Unicode MS" w:hAnsi="Cambria" w:cs="Arial"/>
          <w:b/>
          <w:bCs/>
          <w:sz w:val="24"/>
          <w:szCs w:val="24"/>
          <w:bdr w:val="nil"/>
        </w:rPr>
      </w:pPr>
    </w:p>
    <w:p w14:paraId="07C9BB07" w14:textId="2570F144" w:rsidR="00250148" w:rsidRPr="005B3EAC" w:rsidRDefault="003003F9"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5B3EAC">
        <w:rPr>
          <w:rFonts w:ascii="Cambria" w:eastAsia="Arial Unicode MS" w:hAnsi="Cambria" w:cs="Arial"/>
          <w:bCs/>
          <w:sz w:val="24"/>
          <w:szCs w:val="24"/>
          <w:bdr w:val="nil"/>
        </w:rPr>
        <w:t>Además que las condiciones</w:t>
      </w:r>
      <w:r w:rsidR="00F20802" w:rsidRPr="005B3EAC">
        <w:rPr>
          <w:rFonts w:ascii="Cambria" w:eastAsia="Arial Unicode MS" w:hAnsi="Cambria" w:cs="Arial"/>
          <w:bCs/>
          <w:sz w:val="24"/>
          <w:szCs w:val="24"/>
          <w:bdr w:val="nil"/>
        </w:rPr>
        <w:t xml:space="preserve"> actuales</w:t>
      </w:r>
      <w:r w:rsidRPr="005B3EAC">
        <w:rPr>
          <w:rFonts w:ascii="Cambria" w:eastAsia="Arial Unicode MS" w:hAnsi="Cambria" w:cs="Arial"/>
          <w:bCs/>
          <w:sz w:val="24"/>
          <w:szCs w:val="24"/>
          <w:bdr w:val="nil"/>
        </w:rPr>
        <w:t xml:space="preserve"> del país</w:t>
      </w:r>
      <w:r w:rsidR="006C40F0" w:rsidRPr="005B3EAC">
        <w:rPr>
          <w:rFonts w:ascii="Cambria" w:eastAsia="Arial Unicode MS" w:hAnsi="Cambria" w:cs="Arial"/>
          <w:bCs/>
          <w:sz w:val="24"/>
          <w:szCs w:val="24"/>
          <w:bdr w:val="nil"/>
        </w:rPr>
        <w:t>, que</w:t>
      </w:r>
      <w:r w:rsidR="00CC224F" w:rsidRPr="005B3EAC">
        <w:rPr>
          <w:rFonts w:ascii="Cambria" w:eastAsia="Arial Unicode MS" w:hAnsi="Cambria" w:cs="Arial"/>
          <w:bCs/>
          <w:sz w:val="24"/>
          <w:szCs w:val="24"/>
          <w:bdr w:val="nil"/>
        </w:rPr>
        <w:t xml:space="preserve"> no son las</w:t>
      </w:r>
      <w:r w:rsidRPr="005B3EAC">
        <w:rPr>
          <w:rFonts w:ascii="Cambria" w:eastAsia="Arial Unicode MS" w:hAnsi="Cambria" w:cs="Arial"/>
          <w:bCs/>
          <w:sz w:val="24"/>
          <w:szCs w:val="24"/>
          <w:bdr w:val="nil"/>
        </w:rPr>
        <w:t xml:space="preserve"> más óptimas para establecer una Asociación Público- Privada, </w:t>
      </w:r>
      <w:r w:rsidR="00F20802" w:rsidRPr="005B3EAC">
        <w:rPr>
          <w:rFonts w:ascii="Cambria" w:eastAsia="Arial Unicode MS" w:hAnsi="Cambria" w:cs="Arial"/>
          <w:bCs/>
          <w:sz w:val="24"/>
          <w:szCs w:val="24"/>
          <w:bdr w:val="nil"/>
        </w:rPr>
        <w:t>haciendo un panorama difícil para la inversión privada en proyectos de gobierno, t</w:t>
      </w:r>
      <w:r w:rsidRPr="005B3EAC">
        <w:rPr>
          <w:rFonts w:ascii="Cambria" w:eastAsia="Arial Unicode MS" w:hAnsi="Cambria" w:cs="Arial"/>
          <w:bCs/>
          <w:sz w:val="24"/>
          <w:szCs w:val="24"/>
          <w:bdr w:val="nil"/>
        </w:rPr>
        <w:t xml:space="preserve">omando en consideración las decisiones vagas del ejecutivo federal, </w:t>
      </w:r>
      <w:r w:rsidR="00F20802" w:rsidRPr="005B3EAC">
        <w:rPr>
          <w:rFonts w:ascii="Cambria" w:eastAsia="Arial Unicode MS" w:hAnsi="Cambria" w:cs="Arial"/>
          <w:bCs/>
          <w:sz w:val="24"/>
          <w:szCs w:val="24"/>
          <w:bdr w:val="nil"/>
        </w:rPr>
        <w:t xml:space="preserve">lo cual </w:t>
      </w:r>
      <w:r w:rsidRPr="005B3EAC">
        <w:rPr>
          <w:rFonts w:ascii="Cambria" w:eastAsia="Arial Unicode MS" w:hAnsi="Cambria" w:cs="Arial"/>
          <w:bCs/>
          <w:sz w:val="24"/>
          <w:szCs w:val="24"/>
          <w:bdr w:val="nil"/>
        </w:rPr>
        <w:t>crea circunstancias jurídicas y financieras inciertas, sumando así la pandemia</w:t>
      </w:r>
      <w:r w:rsidR="00F20802" w:rsidRPr="005B3EAC">
        <w:rPr>
          <w:rFonts w:ascii="Cambria" w:eastAsia="Arial Unicode MS" w:hAnsi="Cambria" w:cs="Arial"/>
          <w:bCs/>
          <w:sz w:val="24"/>
          <w:szCs w:val="24"/>
          <w:bdr w:val="nil"/>
        </w:rPr>
        <w:t xml:space="preserve"> y crisis económica</w:t>
      </w:r>
      <w:r w:rsidRPr="005B3EAC">
        <w:rPr>
          <w:rFonts w:ascii="Cambria" w:eastAsia="Arial Unicode MS" w:hAnsi="Cambria" w:cs="Arial"/>
          <w:bCs/>
          <w:sz w:val="24"/>
          <w:szCs w:val="24"/>
          <w:bdr w:val="nil"/>
        </w:rPr>
        <w:t xml:space="preserve"> por</w:t>
      </w:r>
      <w:r w:rsidR="00F20802" w:rsidRPr="005B3EAC">
        <w:rPr>
          <w:rFonts w:ascii="Cambria" w:eastAsia="Arial Unicode MS" w:hAnsi="Cambria" w:cs="Arial"/>
          <w:bCs/>
          <w:sz w:val="24"/>
          <w:szCs w:val="24"/>
          <w:bdr w:val="nil"/>
        </w:rPr>
        <w:t xml:space="preserve"> el</w:t>
      </w:r>
      <w:r w:rsidRPr="005B3EAC">
        <w:rPr>
          <w:rFonts w:ascii="Cambria" w:eastAsia="Arial Unicode MS" w:hAnsi="Cambria" w:cs="Arial"/>
          <w:bCs/>
          <w:sz w:val="24"/>
          <w:szCs w:val="24"/>
          <w:bdr w:val="nil"/>
        </w:rPr>
        <w:t xml:space="preserve"> Covid-19, lo que además </w:t>
      </w:r>
      <w:r w:rsidR="00F20802" w:rsidRPr="005B3EAC">
        <w:rPr>
          <w:rFonts w:ascii="Cambria" w:eastAsia="Arial Unicode MS" w:hAnsi="Cambria" w:cs="Arial"/>
          <w:bCs/>
          <w:sz w:val="24"/>
          <w:szCs w:val="24"/>
          <w:bdr w:val="nil"/>
        </w:rPr>
        <w:t xml:space="preserve">ha generado </w:t>
      </w:r>
      <w:r w:rsidRPr="005B3EAC">
        <w:rPr>
          <w:rFonts w:ascii="Cambria" w:eastAsia="Arial Unicode MS" w:hAnsi="Cambria" w:cs="Arial"/>
          <w:bCs/>
          <w:sz w:val="24"/>
          <w:szCs w:val="24"/>
          <w:bdr w:val="nil"/>
        </w:rPr>
        <w:t>cambios con la alza de las tarifas de energía</w:t>
      </w:r>
      <w:r w:rsidR="006C40F0" w:rsidRPr="005B3EAC">
        <w:rPr>
          <w:rFonts w:ascii="Cambria" w:eastAsia="Arial Unicode MS" w:hAnsi="Cambria" w:cs="Arial"/>
          <w:bCs/>
          <w:sz w:val="24"/>
          <w:szCs w:val="24"/>
          <w:bdr w:val="nil"/>
        </w:rPr>
        <w:t xml:space="preserve"> eléctrica </w:t>
      </w:r>
      <w:r w:rsidRPr="005B3EAC">
        <w:rPr>
          <w:rFonts w:ascii="Cambria" w:eastAsia="Arial Unicode MS" w:hAnsi="Cambria" w:cs="Arial"/>
          <w:bCs/>
          <w:sz w:val="24"/>
          <w:szCs w:val="24"/>
          <w:bdr w:val="nil"/>
        </w:rPr>
        <w:t>,</w:t>
      </w:r>
      <w:r w:rsidR="00F20802" w:rsidRPr="005B3EAC">
        <w:rPr>
          <w:rFonts w:ascii="Cambria" w:eastAsia="Arial Unicode MS" w:hAnsi="Cambria" w:cs="Arial"/>
          <w:bCs/>
          <w:sz w:val="24"/>
          <w:szCs w:val="24"/>
          <w:bdr w:val="nil"/>
        </w:rPr>
        <w:t xml:space="preserve"> lo que</w:t>
      </w:r>
      <w:r w:rsidRPr="005B3EAC">
        <w:rPr>
          <w:rFonts w:ascii="Cambria" w:eastAsia="Arial Unicode MS" w:hAnsi="Cambria" w:cs="Arial"/>
          <w:bCs/>
          <w:sz w:val="24"/>
          <w:szCs w:val="24"/>
          <w:bdr w:val="nil"/>
        </w:rPr>
        <w:t xml:space="preserve"> modifican sustancialmente los riesgos para el proyecto,</w:t>
      </w:r>
      <w:r w:rsidR="00CC224F" w:rsidRPr="005B3EAC">
        <w:rPr>
          <w:rFonts w:ascii="Cambria" w:eastAsia="Arial Unicode MS" w:hAnsi="Cambria" w:cs="Arial"/>
          <w:bCs/>
          <w:sz w:val="24"/>
          <w:szCs w:val="24"/>
          <w:bdr w:val="nil"/>
        </w:rPr>
        <w:t xml:space="preserve"> por lo cual mi propuesta recae en que se genere una modalidad</w:t>
      </w:r>
      <w:r w:rsidR="00250148" w:rsidRPr="005B3EAC">
        <w:rPr>
          <w:rFonts w:ascii="Cambria" w:eastAsia="Arial Unicode MS" w:hAnsi="Cambria" w:cs="Arial"/>
          <w:bCs/>
          <w:sz w:val="24"/>
          <w:szCs w:val="24"/>
          <w:bdr w:val="nil"/>
        </w:rPr>
        <w:t xml:space="preserve"> diferente, </w:t>
      </w:r>
      <w:r w:rsidR="00CC224F" w:rsidRPr="005B3EAC">
        <w:rPr>
          <w:rFonts w:ascii="Cambria" w:eastAsia="Arial Unicode MS" w:hAnsi="Cambria" w:cs="Arial"/>
          <w:bCs/>
          <w:sz w:val="24"/>
          <w:szCs w:val="24"/>
          <w:bdr w:val="nil"/>
        </w:rPr>
        <w:t xml:space="preserve">optima y que mitigue riesgos, </w:t>
      </w:r>
      <w:r w:rsidR="00F20802" w:rsidRPr="005B3EAC">
        <w:rPr>
          <w:rFonts w:ascii="Cambria" w:eastAsia="Arial Unicode MS" w:hAnsi="Cambria" w:cs="Arial"/>
          <w:bCs/>
          <w:sz w:val="24"/>
          <w:szCs w:val="24"/>
          <w:bdr w:val="nil"/>
        </w:rPr>
        <w:t xml:space="preserve">trasladándolos sobre todo a la iniciativa privada dichos riesgos, </w:t>
      </w:r>
      <w:r w:rsidR="00250148" w:rsidRPr="005B3EAC">
        <w:rPr>
          <w:rFonts w:ascii="Cambria" w:eastAsia="Arial Unicode MS" w:hAnsi="Cambria" w:cs="Arial"/>
          <w:bCs/>
          <w:sz w:val="24"/>
          <w:szCs w:val="24"/>
          <w:bdr w:val="nil"/>
        </w:rPr>
        <w:t>para hacer frente a la necesidad de satisfacer el servicio de alumbrado púb</w:t>
      </w:r>
      <w:r w:rsidR="00F20802" w:rsidRPr="005B3EAC">
        <w:rPr>
          <w:rFonts w:ascii="Cambria" w:eastAsia="Arial Unicode MS" w:hAnsi="Cambria" w:cs="Arial"/>
          <w:bCs/>
          <w:sz w:val="24"/>
          <w:szCs w:val="24"/>
          <w:bdr w:val="nil"/>
        </w:rPr>
        <w:t>lico, sin comprometer las participaciones federales, y que se genere una oportunidad de brindar certeza a través de quien ofrezca las mejores condiciones, par</w:t>
      </w:r>
      <w:r w:rsidR="006C40F0" w:rsidRPr="005B3EAC">
        <w:rPr>
          <w:rFonts w:ascii="Cambria" w:eastAsia="Arial Unicode MS" w:hAnsi="Cambria" w:cs="Arial"/>
          <w:bCs/>
          <w:sz w:val="24"/>
          <w:szCs w:val="24"/>
          <w:bdr w:val="nil"/>
        </w:rPr>
        <w:t>a un</w:t>
      </w:r>
      <w:r w:rsidR="00F20802" w:rsidRPr="005B3EAC">
        <w:rPr>
          <w:rFonts w:ascii="Cambria" w:eastAsia="Arial Unicode MS" w:hAnsi="Cambria" w:cs="Arial"/>
          <w:bCs/>
          <w:sz w:val="24"/>
          <w:szCs w:val="24"/>
          <w:bdr w:val="nil"/>
        </w:rPr>
        <w:t xml:space="preserve"> proyecto de eficiencia energética en el sistema de alumbrado en el M</w:t>
      </w:r>
      <w:r w:rsidR="006C40F0" w:rsidRPr="005B3EAC">
        <w:rPr>
          <w:rFonts w:ascii="Cambria" w:eastAsia="Arial Unicode MS" w:hAnsi="Cambria" w:cs="Arial"/>
          <w:bCs/>
          <w:sz w:val="24"/>
          <w:szCs w:val="24"/>
          <w:bdr w:val="nil"/>
        </w:rPr>
        <w:t>unicipio de Zapotlán el Grande.</w:t>
      </w:r>
    </w:p>
    <w:p w14:paraId="735900E1" w14:textId="77777777" w:rsidR="00F20802" w:rsidRPr="005B3EAC" w:rsidRDefault="00F20802" w:rsidP="0025014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01550742"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360418CA" w14:textId="77777777" w:rsidR="00860AC9" w:rsidRPr="005B3EAC" w:rsidRDefault="00860AC9" w:rsidP="00860AC9">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5B3EAC">
        <w:rPr>
          <w:rFonts w:ascii="Cambria" w:eastAsia="Arial Unicode MS" w:hAnsi="Cambria" w:cs="Arial"/>
          <w:sz w:val="24"/>
          <w:szCs w:val="24"/>
          <w:bdr w:val="nil"/>
        </w:rPr>
        <w:t xml:space="preserve">Por lo antes expuesto, fundado y motivado, pongo a su consideración, sometiendo para su aprobación los siguientes </w:t>
      </w:r>
    </w:p>
    <w:p w14:paraId="5637BE7F" w14:textId="77777777" w:rsidR="00860AC9" w:rsidRPr="005B3EAC" w:rsidRDefault="00860AC9" w:rsidP="00860AC9">
      <w:pPr>
        <w:spacing w:after="0" w:line="240" w:lineRule="auto"/>
        <w:jc w:val="center"/>
        <w:rPr>
          <w:rFonts w:ascii="Cambria" w:eastAsia="Arial Unicode MS" w:hAnsi="Cambria" w:cs="Arial"/>
          <w:b/>
          <w:sz w:val="24"/>
          <w:szCs w:val="24"/>
          <w:bdr w:val="nil"/>
          <w:lang w:val="es-ES"/>
        </w:rPr>
      </w:pPr>
    </w:p>
    <w:p w14:paraId="3393ED86" w14:textId="77777777" w:rsidR="00860AC9" w:rsidRPr="005B3EAC" w:rsidRDefault="00860AC9" w:rsidP="00860AC9">
      <w:pPr>
        <w:spacing w:after="0" w:line="240" w:lineRule="auto"/>
        <w:jc w:val="center"/>
        <w:rPr>
          <w:rFonts w:ascii="Cambria" w:eastAsia="Arial Unicode MS" w:hAnsi="Cambria" w:cs="Arial"/>
          <w:b/>
          <w:sz w:val="24"/>
          <w:szCs w:val="24"/>
          <w:bdr w:val="nil"/>
          <w:lang w:val="es-ES"/>
        </w:rPr>
      </w:pPr>
      <w:r w:rsidRPr="005B3EAC">
        <w:rPr>
          <w:rFonts w:ascii="Cambria" w:eastAsia="Arial Unicode MS" w:hAnsi="Cambria" w:cs="Arial"/>
          <w:b/>
          <w:sz w:val="24"/>
          <w:szCs w:val="24"/>
          <w:bdr w:val="nil"/>
          <w:lang w:val="es-ES"/>
        </w:rPr>
        <w:t>R E S O L U T I V O S:</w:t>
      </w:r>
    </w:p>
    <w:p w14:paraId="4D0BE9EC" w14:textId="77777777" w:rsidR="00860AC9" w:rsidRPr="005B3EAC" w:rsidRDefault="00860AC9" w:rsidP="00860AC9">
      <w:pPr>
        <w:spacing w:after="0" w:line="240" w:lineRule="auto"/>
        <w:jc w:val="center"/>
        <w:rPr>
          <w:rFonts w:ascii="Cambria" w:eastAsia="Arial Unicode MS" w:hAnsi="Cambria" w:cs="Arial"/>
          <w:sz w:val="24"/>
          <w:szCs w:val="24"/>
          <w:bdr w:val="nil"/>
          <w:lang w:val="es-ES"/>
        </w:rPr>
      </w:pPr>
    </w:p>
    <w:p w14:paraId="0F924671" w14:textId="4D90199E" w:rsidR="00F20802" w:rsidRPr="005B3EAC" w:rsidRDefault="00860AC9" w:rsidP="00F20802">
      <w:pPr>
        <w:spacing w:after="0" w:line="240" w:lineRule="auto"/>
        <w:jc w:val="both"/>
        <w:rPr>
          <w:rFonts w:ascii="Cambria" w:eastAsia="Arial Unicode MS" w:hAnsi="Cambria" w:cs="Arial"/>
          <w:bCs/>
          <w:strike/>
          <w:sz w:val="24"/>
          <w:szCs w:val="24"/>
          <w:bdr w:val="nil"/>
          <w:lang w:val="es-ES"/>
        </w:rPr>
      </w:pPr>
      <w:r w:rsidRPr="005B3EAC">
        <w:rPr>
          <w:rFonts w:ascii="Cambria" w:eastAsia="Arial Unicode MS" w:hAnsi="Cambria" w:cs="Arial"/>
          <w:b/>
          <w:sz w:val="24"/>
          <w:szCs w:val="24"/>
          <w:bdr w:val="nil"/>
          <w:lang w:val="es-ES"/>
        </w:rPr>
        <w:t xml:space="preserve">PRIMERO. - </w:t>
      </w:r>
      <w:r w:rsidR="00B62AE5" w:rsidRPr="005B3EAC">
        <w:rPr>
          <w:rFonts w:ascii="Cambria" w:eastAsia="Arial Unicode MS" w:hAnsi="Cambria" w:cs="Arial"/>
          <w:bCs/>
          <w:sz w:val="24"/>
          <w:szCs w:val="24"/>
          <w:bdr w:val="nil"/>
          <w:lang w:val="es-ES"/>
        </w:rPr>
        <w:t xml:space="preserve">Se abroga dicho decreto  </w:t>
      </w:r>
      <w:r w:rsidR="00F20802" w:rsidRPr="005B3EAC">
        <w:rPr>
          <w:rFonts w:ascii="Cambria" w:eastAsia="Arial Unicode MS" w:hAnsi="Cambria" w:cs="Arial"/>
          <w:bCs/>
          <w:sz w:val="24"/>
          <w:szCs w:val="24"/>
          <w:bdr w:val="nil"/>
          <w:lang w:val="es-ES"/>
        </w:rPr>
        <w:t xml:space="preserve">y </w:t>
      </w:r>
      <w:r w:rsidR="00B62AE5" w:rsidRPr="005B3EAC">
        <w:rPr>
          <w:rFonts w:ascii="Cambria" w:eastAsia="Arial Unicode MS" w:hAnsi="Cambria" w:cs="Arial"/>
          <w:bCs/>
          <w:sz w:val="24"/>
          <w:szCs w:val="24"/>
          <w:bdr w:val="nil"/>
          <w:lang w:val="es-ES"/>
        </w:rPr>
        <w:t xml:space="preserve">se </w:t>
      </w:r>
      <w:r w:rsidR="00F20802" w:rsidRPr="005B3EAC">
        <w:rPr>
          <w:rFonts w:ascii="Cambria" w:eastAsia="Arial Unicode MS" w:hAnsi="Cambria" w:cs="Arial"/>
          <w:bCs/>
          <w:sz w:val="24"/>
          <w:szCs w:val="24"/>
          <w:bdr w:val="nil"/>
          <w:lang w:val="es-ES"/>
        </w:rPr>
        <w:t xml:space="preserve">deja sin efectos lo autorizado en el punto 3 tres de la orden del día de la Sesión Extraordinaria No. 21, del día 23 de Julio del año 2019, así como lo autorizado en el punto 3 tres de la orden del día de la Sesión Pública Extraordinaria No. 33, celebrada el día 16  del mes de Octubre del año 2019. </w:t>
      </w:r>
    </w:p>
    <w:p w14:paraId="4469427D" w14:textId="77777777" w:rsidR="00860AC9" w:rsidRPr="005B3EAC" w:rsidRDefault="00860AC9" w:rsidP="00860AC9">
      <w:pPr>
        <w:spacing w:after="0" w:line="240" w:lineRule="auto"/>
        <w:jc w:val="both"/>
        <w:rPr>
          <w:rFonts w:ascii="Cambria" w:eastAsia="Arial Unicode MS" w:hAnsi="Cambria" w:cs="Arial"/>
          <w:bCs/>
          <w:sz w:val="24"/>
          <w:szCs w:val="24"/>
          <w:bdr w:val="nil"/>
          <w:lang w:val="es-ES"/>
        </w:rPr>
      </w:pPr>
    </w:p>
    <w:p w14:paraId="4F20A687" w14:textId="78E4955E" w:rsidR="00860AC9" w:rsidRPr="005B3EAC" w:rsidRDefault="00860AC9" w:rsidP="00860AC9">
      <w:pPr>
        <w:spacing w:after="0" w:line="240" w:lineRule="auto"/>
        <w:jc w:val="both"/>
        <w:rPr>
          <w:rFonts w:ascii="Cambria" w:eastAsia="Arial Unicode MS" w:hAnsi="Cambria" w:cs="Arial"/>
          <w:bCs/>
          <w:sz w:val="24"/>
          <w:szCs w:val="24"/>
          <w:bdr w:val="nil"/>
          <w:lang w:val="es-ES_tradnl"/>
        </w:rPr>
      </w:pPr>
      <w:r w:rsidRPr="005B3EAC">
        <w:rPr>
          <w:rFonts w:ascii="Cambria" w:eastAsia="Arial Unicode MS" w:hAnsi="Cambria" w:cs="Arial"/>
          <w:b/>
          <w:bCs/>
          <w:sz w:val="24"/>
          <w:szCs w:val="24"/>
          <w:bdr w:val="nil"/>
          <w:lang w:val="es-ES"/>
        </w:rPr>
        <w:t>SEGUNDO.-</w:t>
      </w:r>
      <w:r w:rsidRPr="005B3EAC">
        <w:rPr>
          <w:rFonts w:ascii="Cambria" w:eastAsia="Arial Unicode MS" w:hAnsi="Cambria" w:cs="Arial"/>
          <w:bCs/>
          <w:sz w:val="24"/>
          <w:szCs w:val="24"/>
          <w:bdr w:val="nil"/>
          <w:lang w:val="es-ES"/>
        </w:rPr>
        <w:t xml:space="preserve"> </w:t>
      </w:r>
      <w:r w:rsidR="00F20802" w:rsidRPr="005B3EAC">
        <w:rPr>
          <w:rFonts w:ascii="Cambria" w:eastAsia="Arial Unicode MS" w:hAnsi="Cambria" w:cs="Arial"/>
          <w:bCs/>
          <w:sz w:val="24"/>
          <w:szCs w:val="24"/>
          <w:bdr w:val="nil"/>
          <w:lang w:val="es-ES"/>
        </w:rPr>
        <w:t>Se instruye</w:t>
      </w:r>
      <w:r w:rsidR="00495F01" w:rsidRPr="005B3EAC">
        <w:rPr>
          <w:rFonts w:ascii="Cambria" w:eastAsia="Arial Unicode MS" w:hAnsi="Cambria" w:cs="Arial"/>
          <w:bCs/>
          <w:sz w:val="24"/>
          <w:szCs w:val="24"/>
          <w:bdr w:val="nil"/>
          <w:lang w:val="es-ES"/>
        </w:rPr>
        <w:t xml:space="preserve"> al Encargado de la Hacienda Municipal, al Coordinador </w:t>
      </w:r>
      <w:r w:rsidR="006C40F0" w:rsidRPr="005B3EAC">
        <w:rPr>
          <w:rFonts w:ascii="Cambria" w:eastAsia="Arial Unicode MS" w:hAnsi="Cambria" w:cs="Arial"/>
          <w:bCs/>
          <w:sz w:val="24"/>
          <w:szCs w:val="24"/>
          <w:bdr w:val="nil"/>
          <w:lang w:val="es-ES"/>
        </w:rPr>
        <w:t xml:space="preserve">General </w:t>
      </w:r>
      <w:r w:rsidR="00495F01" w:rsidRPr="005B3EAC">
        <w:rPr>
          <w:rFonts w:ascii="Cambria" w:eastAsia="Arial Unicode MS" w:hAnsi="Cambria" w:cs="Arial"/>
          <w:bCs/>
          <w:sz w:val="24"/>
          <w:szCs w:val="24"/>
          <w:bdr w:val="nil"/>
          <w:lang w:val="es-ES"/>
        </w:rPr>
        <w:t xml:space="preserve">de Servicios Públicos Municipales, y al Síndico Municipal, a fin de que </w:t>
      </w:r>
      <w:r w:rsidR="00F20802" w:rsidRPr="005B3EAC">
        <w:rPr>
          <w:rFonts w:ascii="Cambria" w:eastAsia="Arial Unicode MS" w:hAnsi="Cambria" w:cs="Arial"/>
          <w:bCs/>
          <w:sz w:val="24"/>
          <w:szCs w:val="24"/>
          <w:bdr w:val="nil"/>
          <w:lang w:val="es-ES"/>
        </w:rPr>
        <w:t xml:space="preserve">se revise </w:t>
      </w:r>
      <w:r w:rsidR="00495F01" w:rsidRPr="005B3EAC">
        <w:rPr>
          <w:rFonts w:ascii="Cambria" w:eastAsia="Arial Unicode MS" w:hAnsi="Cambria" w:cs="Arial"/>
          <w:bCs/>
          <w:sz w:val="24"/>
          <w:szCs w:val="24"/>
          <w:bdr w:val="nil"/>
          <w:lang w:val="es-ES"/>
        </w:rPr>
        <w:t xml:space="preserve">una modalidad </w:t>
      </w:r>
      <w:r w:rsidR="00495F01" w:rsidRPr="005B3EAC">
        <w:rPr>
          <w:rFonts w:ascii="Cambria" w:eastAsia="Arial Unicode MS" w:hAnsi="Cambria" w:cs="Arial"/>
          <w:bCs/>
          <w:sz w:val="24"/>
          <w:szCs w:val="24"/>
          <w:bdr w:val="nil"/>
          <w:lang w:val="es-ES"/>
        </w:rPr>
        <w:lastRenderedPageBreak/>
        <w:t xml:space="preserve">diferente a la Asociación Pública- Privada, a fin de buscar las mejores condiciones para llevar a cabo un proyecto de </w:t>
      </w:r>
      <w:r w:rsidR="00495F01" w:rsidRPr="005B3EAC">
        <w:rPr>
          <w:rFonts w:ascii="Cambria" w:eastAsia="Arial Unicode MS" w:hAnsi="Cambria" w:cs="Arial"/>
          <w:bCs/>
          <w:sz w:val="24"/>
          <w:szCs w:val="24"/>
          <w:bdr w:val="nil"/>
          <w:lang w:val="es-ES_tradnl"/>
        </w:rPr>
        <w:t>eficiencia energética a través de la sustitución de los sistemas ineficientes por eficientes de alumbrado público municipal, con las mejores condiciones económicas, financieras, jurídicas y técnicas, que garantice</w:t>
      </w:r>
      <w:r w:rsidR="00783EDF" w:rsidRPr="005B3EAC">
        <w:rPr>
          <w:rFonts w:ascii="Cambria" w:eastAsia="Arial Unicode MS" w:hAnsi="Cambria" w:cs="Arial"/>
          <w:bCs/>
          <w:sz w:val="24"/>
          <w:szCs w:val="24"/>
          <w:bdr w:val="nil"/>
          <w:lang w:val="es-ES_tradnl"/>
        </w:rPr>
        <w:t>n</w:t>
      </w:r>
      <w:r w:rsidR="00495F01" w:rsidRPr="005B3EAC">
        <w:rPr>
          <w:rFonts w:ascii="Cambria" w:eastAsia="Arial Unicode MS" w:hAnsi="Cambria" w:cs="Arial"/>
          <w:bCs/>
          <w:sz w:val="24"/>
          <w:szCs w:val="24"/>
          <w:bdr w:val="nil"/>
          <w:lang w:val="es-ES_tradnl"/>
        </w:rPr>
        <w:t xml:space="preserve"> el menor de los riesgos y las mejores medidas de mitigación para el Ayuntamiento de Zapotlán el Grande, Jalisco, en base a la legislación vigente aplicable. </w:t>
      </w:r>
    </w:p>
    <w:p w14:paraId="2665EEF4" w14:textId="77777777" w:rsidR="00495F01" w:rsidRPr="005B3EAC" w:rsidRDefault="00495F01" w:rsidP="00860AC9">
      <w:pPr>
        <w:spacing w:after="0" w:line="240" w:lineRule="auto"/>
        <w:jc w:val="both"/>
        <w:rPr>
          <w:rFonts w:ascii="Cambria" w:eastAsia="Arial Unicode MS" w:hAnsi="Cambria" w:cs="Arial"/>
          <w:bCs/>
          <w:strike/>
          <w:sz w:val="24"/>
          <w:szCs w:val="24"/>
          <w:bdr w:val="nil"/>
          <w:lang w:val="es-ES"/>
        </w:rPr>
      </w:pPr>
    </w:p>
    <w:p w14:paraId="5F049430" w14:textId="180A42E5" w:rsidR="00783EDF" w:rsidRPr="005B3EAC" w:rsidRDefault="00860AC9" w:rsidP="00783EDF">
      <w:pPr>
        <w:spacing w:after="0" w:line="240" w:lineRule="auto"/>
        <w:jc w:val="both"/>
        <w:rPr>
          <w:rFonts w:ascii="Cambria" w:eastAsia="Arial Unicode MS" w:hAnsi="Cambria" w:cs="Arial"/>
          <w:bCs/>
          <w:iCs/>
          <w:sz w:val="24"/>
          <w:szCs w:val="24"/>
          <w:bdr w:val="nil"/>
          <w:lang w:val="es-ES"/>
        </w:rPr>
      </w:pPr>
      <w:r w:rsidRPr="005B3EAC">
        <w:rPr>
          <w:rFonts w:ascii="Cambria" w:eastAsia="Arial Unicode MS" w:hAnsi="Cambria" w:cs="Arial"/>
          <w:b/>
          <w:bCs/>
          <w:sz w:val="24"/>
          <w:szCs w:val="24"/>
          <w:bdr w:val="nil"/>
          <w:lang w:val="es-ES"/>
        </w:rPr>
        <w:t>TERCERO.-</w:t>
      </w:r>
      <w:r w:rsidR="00495F01" w:rsidRPr="005B3EAC">
        <w:rPr>
          <w:rFonts w:ascii="Cambria" w:eastAsia="Arial Unicode MS" w:hAnsi="Cambria" w:cs="Arial"/>
          <w:bCs/>
          <w:sz w:val="24"/>
          <w:szCs w:val="24"/>
          <w:bdr w:val="nil"/>
          <w:lang w:val="es-ES"/>
        </w:rPr>
        <w:t xml:space="preserve"> </w:t>
      </w:r>
      <w:r w:rsidR="00783EDF" w:rsidRPr="005B3EAC">
        <w:rPr>
          <w:rFonts w:ascii="Cambria" w:eastAsia="Arial Unicode MS" w:hAnsi="Cambria" w:cs="Arial"/>
          <w:bCs/>
          <w:iCs/>
          <w:sz w:val="24"/>
          <w:szCs w:val="24"/>
          <w:bdr w:val="nil"/>
        </w:rPr>
        <w:t xml:space="preserve">Se instruye y faculta al Secretario General, para que de conformidad con las facultades que le confiere la Ley de Gobierno y la Administración Pública, así como el Reglamento interior del Ayuntamiento de Zapotlán el Grande, remita dicho acuerdo en vía de informe al Congreso del Estado de Jalisco, para dejar sin efectos </w:t>
      </w:r>
      <w:r w:rsidR="00783EDF" w:rsidRPr="005B3EAC">
        <w:rPr>
          <w:rFonts w:ascii="Cambria" w:eastAsia="Arial Unicode MS" w:hAnsi="Cambria" w:cs="Arial"/>
          <w:bCs/>
          <w:iCs/>
          <w:sz w:val="24"/>
          <w:szCs w:val="24"/>
          <w:bdr w:val="nil"/>
          <w:lang w:val="es-ES"/>
        </w:rPr>
        <w:t>lo autorizado en el punto 3 tres de la orden del día de la Sesión Extraordinaria No. 21, del día 23 de Julio del año 2019, así como lo autorizado en el punto 3 tres de la orden del día de la Sesión Pública Extraordinaria No. 33, celebrada el día 16  del mes de Octubre del año 2019, y remitido bajo oficio número   213</w:t>
      </w:r>
      <w:r w:rsidR="00F6029E" w:rsidRPr="005B3EAC">
        <w:rPr>
          <w:rFonts w:ascii="Cambria" w:eastAsia="Arial Unicode MS" w:hAnsi="Cambria" w:cs="Arial"/>
          <w:bCs/>
          <w:iCs/>
          <w:sz w:val="24"/>
          <w:szCs w:val="24"/>
          <w:bdr w:val="nil"/>
          <w:lang w:val="es-ES"/>
        </w:rPr>
        <w:t xml:space="preserve">/2020, </w:t>
      </w:r>
      <w:r w:rsidR="00783EDF" w:rsidRPr="005B3EAC">
        <w:rPr>
          <w:rFonts w:ascii="Cambria" w:eastAsia="Arial Unicode MS" w:hAnsi="Cambria" w:cs="Arial"/>
          <w:bCs/>
          <w:iCs/>
          <w:sz w:val="24"/>
          <w:szCs w:val="24"/>
          <w:bdr w:val="nil"/>
          <w:lang w:val="es-ES"/>
        </w:rPr>
        <w:t xml:space="preserve">entregado </w:t>
      </w:r>
      <w:r w:rsidR="00F6029E" w:rsidRPr="005B3EAC">
        <w:rPr>
          <w:rFonts w:ascii="Cambria" w:eastAsia="Arial Unicode MS" w:hAnsi="Cambria" w:cs="Arial"/>
          <w:bCs/>
          <w:iCs/>
          <w:sz w:val="24"/>
          <w:szCs w:val="24"/>
          <w:bdr w:val="nil"/>
          <w:lang w:val="es-ES"/>
        </w:rPr>
        <w:t>el día 01 de Abril del presente año dentro de las instalaciones del H. Congreso del Estado de Jalisco</w:t>
      </w:r>
      <w:r w:rsidR="00783EDF" w:rsidRPr="005B3EAC">
        <w:rPr>
          <w:rFonts w:ascii="Cambria" w:eastAsia="Arial Unicode MS" w:hAnsi="Cambria" w:cs="Arial"/>
          <w:bCs/>
          <w:iCs/>
          <w:sz w:val="24"/>
          <w:szCs w:val="24"/>
          <w:bdr w:val="nil"/>
        </w:rPr>
        <w:t xml:space="preserve">, para los efectos legales correspondientes. </w:t>
      </w:r>
      <w:r w:rsidR="00783EDF" w:rsidRPr="005B3EAC">
        <w:rPr>
          <w:rFonts w:ascii="Cambria" w:eastAsia="Arial Unicode MS" w:hAnsi="Cambria" w:cs="Arial"/>
          <w:bCs/>
          <w:iCs/>
          <w:sz w:val="24"/>
          <w:szCs w:val="24"/>
          <w:bdr w:val="nil"/>
          <w:lang w:val="es-ES"/>
        </w:rPr>
        <w:t xml:space="preserve">   </w:t>
      </w:r>
      <w:r w:rsidR="00783EDF" w:rsidRPr="005B3EAC">
        <w:rPr>
          <w:rFonts w:ascii="Cambria" w:eastAsia="Arial Unicode MS" w:hAnsi="Cambria" w:cs="Arial"/>
          <w:bCs/>
          <w:iCs/>
          <w:sz w:val="24"/>
          <w:szCs w:val="24"/>
          <w:bdr w:val="nil"/>
        </w:rPr>
        <w:t xml:space="preserve"> </w:t>
      </w:r>
    </w:p>
    <w:p w14:paraId="5C3B4923" w14:textId="77777777" w:rsidR="00783EDF" w:rsidRPr="005B3EAC" w:rsidRDefault="00783EDF" w:rsidP="00860AC9">
      <w:pPr>
        <w:spacing w:after="0" w:line="240" w:lineRule="auto"/>
        <w:jc w:val="both"/>
        <w:rPr>
          <w:rFonts w:ascii="Cambria" w:eastAsia="Arial Unicode MS" w:hAnsi="Cambria" w:cs="Arial"/>
          <w:bCs/>
          <w:sz w:val="24"/>
          <w:szCs w:val="24"/>
          <w:bdr w:val="nil"/>
          <w:lang w:val="es-ES"/>
        </w:rPr>
      </w:pPr>
    </w:p>
    <w:p w14:paraId="247ED7DF" w14:textId="7E0661F2" w:rsidR="00860AC9" w:rsidRPr="005B3EAC" w:rsidRDefault="00E82AB8" w:rsidP="00860AC9">
      <w:pPr>
        <w:spacing w:after="0" w:line="240" w:lineRule="auto"/>
        <w:jc w:val="both"/>
        <w:rPr>
          <w:rFonts w:ascii="Cambria" w:eastAsia="Arial Unicode MS" w:hAnsi="Cambria" w:cs="Arial"/>
          <w:b/>
          <w:bCs/>
          <w:sz w:val="24"/>
          <w:szCs w:val="24"/>
          <w:bdr w:val="nil"/>
          <w:lang w:val="es-ES"/>
        </w:rPr>
      </w:pPr>
      <w:r w:rsidRPr="005B3EAC">
        <w:rPr>
          <w:rFonts w:ascii="Cambria" w:eastAsia="Arial Unicode MS" w:hAnsi="Cambria" w:cs="Arial"/>
          <w:b/>
          <w:bCs/>
          <w:iCs/>
          <w:sz w:val="24"/>
          <w:szCs w:val="24"/>
          <w:bdr w:val="nil"/>
        </w:rPr>
        <w:t xml:space="preserve">CUARTO.- </w:t>
      </w:r>
      <w:r w:rsidR="00860AC9" w:rsidRPr="005B3EAC">
        <w:rPr>
          <w:rFonts w:ascii="Cambria" w:eastAsia="Arial Unicode MS" w:hAnsi="Cambria" w:cs="Arial"/>
          <w:bCs/>
          <w:iCs/>
          <w:sz w:val="24"/>
          <w:szCs w:val="24"/>
          <w:bdr w:val="nil"/>
        </w:rPr>
        <w:t>Notifíquese a los C.C. Presidente Municipal, Secretario General, Síndico Municipal, Encargado</w:t>
      </w:r>
      <w:r w:rsidR="00495F01" w:rsidRPr="005B3EAC">
        <w:rPr>
          <w:rFonts w:ascii="Cambria" w:eastAsia="Arial Unicode MS" w:hAnsi="Cambria" w:cs="Arial"/>
          <w:bCs/>
          <w:iCs/>
          <w:sz w:val="24"/>
          <w:szCs w:val="24"/>
          <w:bdr w:val="nil"/>
        </w:rPr>
        <w:t xml:space="preserve"> de la Hacienda Municipal</w:t>
      </w:r>
      <w:r w:rsidR="00860AC9" w:rsidRPr="005B3EAC">
        <w:rPr>
          <w:rFonts w:ascii="Cambria" w:eastAsia="Arial Unicode MS" w:hAnsi="Cambria" w:cs="Arial"/>
          <w:bCs/>
          <w:iCs/>
          <w:sz w:val="24"/>
          <w:szCs w:val="24"/>
          <w:bdr w:val="nil"/>
        </w:rPr>
        <w:t>,</w:t>
      </w:r>
      <w:r w:rsidR="00495F01" w:rsidRPr="005B3EAC">
        <w:rPr>
          <w:rFonts w:ascii="Cambria" w:eastAsia="Arial Unicode MS" w:hAnsi="Cambria" w:cs="Arial"/>
          <w:bCs/>
          <w:iCs/>
          <w:sz w:val="24"/>
          <w:szCs w:val="24"/>
          <w:bdr w:val="nil"/>
        </w:rPr>
        <w:t xml:space="preserve"> y al Coordinador General de Servicios Públicos Municipales, </w:t>
      </w:r>
      <w:r w:rsidR="00860AC9" w:rsidRPr="005B3EAC">
        <w:rPr>
          <w:rFonts w:ascii="Cambria" w:eastAsia="Arial Unicode MS" w:hAnsi="Cambria" w:cs="Arial"/>
          <w:bCs/>
          <w:iCs/>
          <w:sz w:val="24"/>
          <w:szCs w:val="24"/>
          <w:bdr w:val="nil"/>
        </w:rPr>
        <w:t xml:space="preserve">para los efectos legales </w:t>
      </w:r>
      <w:r w:rsidR="00860AC9" w:rsidRPr="005B3EAC">
        <w:rPr>
          <w:rFonts w:ascii="Cambria" w:eastAsia="Arial Unicode MS" w:hAnsi="Cambria" w:cs="Arial"/>
          <w:bCs/>
          <w:iCs/>
          <w:sz w:val="24"/>
          <w:szCs w:val="24"/>
          <w:bdr w:val="nil"/>
          <w:lang w:val="es-AR"/>
        </w:rPr>
        <w:t>a los que haya lugar.</w:t>
      </w:r>
    </w:p>
    <w:p w14:paraId="312C4FD1" w14:textId="77777777" w:rsidR="00860AC9" w:rsidRPr="005B3EAC" w:rsidRDefault="00860AC9" w:rsidP="00860AC9">
      <w:pPr>
        <w:pBdr>
          <w:top w:val="nil"/>
          <w:left w:val="nil"/>
          <w:bottom w:val="nil"/>
          <w:right w:val="nil"/>
          <w:between w:val="nil"/>
          <w:bar w:val="nil"/>
        </w:pBdr>
        <w:spacing w:after="0" w:line="240" w:lineRule="auto"/>
        <w:rPr>
          <w:rFonts w:ascii="Cambria" w:eastAsia="Calibri" w:hAnsi="Cambria" w:cs="Calibri"/>
          <w:b/>
          <w:bCs/>
          <w:color w:val="000000"/>
          <w:sz w:val="24"/>
          <w:szCs w:val="24"/>
          <w:u w:color="000000"/>
          <w:bdr w:val="nil"/>
        </w:rPr>
      </w:pPr>
    </w:p>
    <w:p w14:paraId="0BFEDB8C" w14:textId="77777777" w:rsidR="00860AC9" w:rsidRPr="005B3EAC" w:rsidRDefault="00860AC9" w:rsidP="00860AC9">
      <w:pPr>
        <w:pBdr>
          <w:top w:val="nil"/>
          <w:left w:val="nil"/>
          <w:bottom w:val="nil"/>
          <w:right w:val="nil"/>
          <w:between w:val="nil"/>
          <w:bar w:val="nil"/>
        </w:pBdr>
        <w:spacing w:after="0" w:line="240" w:lineRule="auto"/>
        <w:jc w:val="center"/>
        <w:rPr>
          <w:rFonts w:ascii="Cambria" w:eastAsia="Calibri" w:hAnsi="Cambria" w:cs="Calibri"/>
          <w:b/>
          <w:bCs/>
          <w:color w:val="000000"/>
          <w:sz w:val="24"/>
          <w:szCs w:val="24"/>
          <w:u w:color="000000"/>
          <w:bdr w:val="nil"/>
        </w:rPr>
      </w:pPr>
    </w:p>
    <w:p w14:paraId="4B393C70" w14:textId="77777777" w:rsidR="00860AC9" w:rsidRPr="005B3EAC" w:rsidRDefault="00860AC9" w:rsidP="00860AC9">
      <w:pPr>
        <w:pBdr>
          <w:top w:val="nil"/>
          <w:left w:val="nil"/>
          <w:bottom w:val="nil"/>
          <w:right w:val="nil"/>
          <w:between w:val="nil"/>
          <w:bar w:val="nil"/>
        </w:pBdr>
        <w:spacing w:after="0" w:line="240" w:lineRule="auto"/>
        <w:jc w:val="center"/>
        <w:rPr>
          <w:rFonts w:ascii="Cambria" w:eastAsia="Calibri" w:hAnsi="Cambria" w:cs="Calibri"/>
          <w:b/>
          <w:bCs/>
          <w:color w:val="000000"/>
          <w:sz w:val="24"/>
          <w:szCs w:val="24"/>
          <w:u w:color="000000"/>
          <w:bdr w:val="nil"/>
        </w:rPr>
      </w:pPr>
      <w:r w:rsidRPr="005B3EAC">
        <w:rPr>
          <w:rFonts w:ascii="Cambria" w:eastAsia="Calibri" w:hAnsi="Cambria" w:cs="Calibri"/>
          <w:b/>
          <w:bCs/>
          <w:color w:val="000000"/>
          <w:sz w:val="24"/>
          <w:szCs w:val="24"/>
          <w:u w:color="000000"/>
          <w:bdr w:val="nil"/>
        </w:rPr>
        <w:t>ATENTAMENTE</w:t>
      </w:r>
    </w:p>
    <w:p w14:paraId="6DD05F77" w14:textId="77777777" w:rsidR="00860AC9" w:rsidRPr="00B96B16" w:rsidRDefault="00860AC9" w:rsidP="00860AC9">
      <w:pPr>
        <w:spacing w:after="0" w:line="276" w:lineRule="auto"/>
        <w:jc w:val="center"/>
        <w:rPr>
          <w:rFonts w:ascii="Cambria" w:eastAsia="Times New Roman" w:hAnsi="Cambria" w:cs="Arial"/>
          <w:b/>
          <w:sz w:val="20"/>
          <w:szCs w:val="24"/>
          <w:lang w:eastAsia="es-MX"/>
        </w:rPr>
      </w:pPr>
      <w:r w:rsidRPr="00B96B16">
        <w:rPr>
          <w:rFonts w:ascii="Cambria" w:eastAsia="Times New Roman" w:hAnsi="Cambria" w:cs="Arial"/>
          <w:b/>
          <w:sz w:val="20"/>
          <w:szCs w:val="24"/>
          <w:lang w:eastAsia="es-MX"/>
        </w:rPr>
        <w:t xml:space="preserve"> “2020, año de la Acción por el Clima, de la eliminación de la violencia contra las Mujeres y su Igualdad Salarial”</w:t>
      </w:r>
    </w:p>
    <w:p w14:paraId="6DEB3CB5" w14:textId="77777777" w:rsidR="00860AC9" w:rsidRPr="00B96B16" w:rsidRDefault="00860AC9" w:rsidP="00860AC9">
      <w:pPr>
        <w:spacing w:after="0" w:line="276" w:lineRule="auto"/>
        <w:jc w:val="center"/>
        <w:rPr>
          <w:rFonts w:ascii="Mistral" w:eastAsia="Times New Roman" w:hAnsi="Mistral" w:cs="Arial"/>
          <w:b/>
          <w:sz w:val="20"/>
          <w:szCs w:val="24"/>
          <w:lang w:eastAsia="es-MX"/>
        </w:rPr>
      </w:pPr>
      <w:r w:rsidRPr="00B96B16">
        <w:rPr>
          <w:rFonts w:ascii="Mistral" w:eastAsia="Times New Roman" w:hAnsi="Mistral" w:cs="Arial"/>
          <w:b/>
          <w:bCs/>
          <w:sz w:val="20"/>
          <w:szCs w:val="24"/>
          <w:lang w:eastAsia="es-MX"/>
        </w:rPr>
        <w:t>“2020, AÑO DEL 150 ANIVERSARIO  DEL NATALICIO DEL CIENTÍFICO JOSÉ MARÍA ARREOLA MENDOZA”</w:t>
      </w:r>
    </w:p>
    <w:p w14:paraId="7484DBEB" w14:textId="77777777" w:rsidR="00860AC9" w:rsidRPr="00B96B16" w:rsidRDefault="00860AC9" w:rsidP="00860AC9">
      <w:pPr>
        <w:spacing w:after="0" w:line="240" w:lineRule="auto"/>
        <w:jc w:val="center"/>
        <w:rPr>
          <w:rFonts w:ascii="Mistral" w:eastAsia="Calibri" w:hAnsi="Mistral" w:cs="Arial"/>
          <w:b/>
          <w:bCs/>
          <w:sz w:val="20"/>
          <w:szCs w:val="24"/>
        </w:rPr>
      </w:pPr>
      <w:r w:rsidRPr="00B96B16">
        <w:rPr>
          <w:rFonts w:ascii="Mistral" w:eastAsia="Calibri" w:hAnsi="Mistral" w:cs="Arial"/>
          <w:b/>
          <w:bCs/>
          <w:sz w:val="20"/>
          <w:szCs w:val="24"/>
        </w:rPr>
        <w:t>“2020, AÑO MUNICIPAL DE LAS ENFERMERAS”</w:t>
      </w:r>
    </w:p>
    <w:p w14:paraId="27F5C36E" w14:textId="42ECE102" w:rsidR="00860AC9" w:rsidRPr="005B3EAC" w:rsidRDefault="00860AC9" w:rsidP="00860AC9">
      <w:pPr>
        <w:spacing w:after="0" w:line="240" w:lineRule="auto"/>
        <w:jc w:val="center"/>
        <w:rPr>
          <w:rFonts w:ascii="Cambria" w:eastAsia="Calibri" w:hAnsi="Cambria" w:cs="Arial"/>
          <w:sz w:val="24"/>
          <w:szCs w:val="24"/>
        </w:rPr>
      </w:pPr>
      <w:r w:rsidRPr="005B3EAC">
        <w:rPr>
          <w:rFonts w:ascii="Cambria" w:eastAsia="Calibri" w:hAnsi="Cambria" w:cs="Arial"/>
          <w:sz w:val="24"/>
          <w:szCs w:val="24"/>
        </w:rPr>
        <w:t>Ciudad Guzmán, Municipio de Zapot</w:t>
      </w:r>
      <w:r w:rsidR="00B96B16">
        <w:rPr>
          <w:rFonts w:ascii="Cambria" w:eastAsia="Calibri" w:hAnsi="Cambria" w:cs="Arial"/>
          <w:sz w:val="24"/>
          <w:szCs w:val="24"/>
        </w:rPr>
        <w:t>lán el Grande, Jalisco; Junio 8</w:t>
      </w:r>
      <w:r w:rsidR="00495F01" w:rsidRPr="005B3EAC">
        <w:rPr>
          <w:rFonts w:ascii="Cambria" w:eastAsia="Calibri" w:hAnsi="Cambria" w:cs="Arial"/>
          <w:sz w:val="24"/>
          <w:szCs w:val="24"/>
        </w:rPr>
        <w:t xml:space="preserve"> </w:t>
      </w:r>
      <w:r w:rsidRPr="005B3EAC">
        <w:rPr>
          <w:rFonts w:ascii="Cambria" w:eastAsia="Calibri" w:hAnsi="Cambria" w:cs="Arial"/>
          <w:sz w:val="24"/>
          <w:szCs w:val="24"/>
        </w:rPr>
        <w:t>del 2020</w:t>
      </w:r>
    </w:p>
    <w:p w14:paraId="1A570C95" w14:textId="77777777" w:rsidR="00860AC9" w:rsidRPr="005B3EAC" w:rsidRDefault="00860AC9" w:rsidP="00860AC9">
      <w:pPr>
        <w:spacing w:after="0" w:line="240" w:lineRule="auto"/>
        <w:rPr>
          <w:rFonts w:ascii="Cambria" w:eastAsia="Times New Roman" w:hAnsi="Cambria" w:cs="Arial"/>
          <w:b/>
          <w:sz w:val="24"/>
          <w:szCs w:val="24"/>
          <w:lang w:eastAsia="es-MX"/>
        </w:rPr>
      </w:pPr>
      <w:bookmarkStart w:id="0" w:name="_GoBack"/>
      <w:bookmarkEnd w:id="0"/>
    </w:p>
    <w:p w14:paraId="188A7DC2" w14:textId="77777777" w:rsidR="00860AC9" w:rsidRPr="005B3EAC" w:rsidRDefault="00860AC9" w:rsidP="00860AC9">
      <w:pPr>
        <w:spacing w:after="0" w:line="240" w:lineRule="auto"/>
        <w:rPr>
          <w:rFonts w:ascii="Cambria" w:eastAsia="Times New Roman" w:hAnsi="Cambria" w:cs="Arial"/>
          <w:b/>
          <w:sz w:val="24"/>
          <w:szCs w:val="24"/>
          <w:lang w:eastAsia="es-MX"/>
        </w:rPr>
      </w:pPr>
    </w:p>
    <w:p w14:paraId="4A7C9C65" w14:textId="77777777" w:rsidR="00860AC9" w:rsidRPr="005B3EAC" w:rsidRDefault="00860AC9" w:rsidP="00495F01">
      <w:pPr>
        <w:pBdr>
          <w:top w:val="nil"/>
          <w:left w:val="nil"/>
          <w:bottom w:val="nil"/>
          <w:right w:val="nil"/>
          <w:between w:val="nil"/>
          <w:bar w:val="nil"/>
        </w:pBdr>
        <w:spacing w:after="0" w:line="240" w:lineRule="auto"/>
        <w:rPr>
          <w:rFonts w:ascii="Cambria" w:eastAsia="Calibri" w:hAnsi="Cambria" w:cs="Arial"/>
          <w:b/>
          <w:bCs/>
          <w:color w:val="000000"/>
          <w:sz w:val="24"/>
          <w:szCs w:val="24"/>
          <w:u w:color="000000"/>
          <w:bdr w:val="nil"/>
        </w:rPr>
      </w:pPr>
    </w:p>
    <w:p w14:paraId="4CC9D52C" w14:textId="77777777" w:rsidR="00495F01" w:rsidRPr="005B3EAC" w:rsidRDefault="00495F01" w:rsidP="00495F01">
      <w:pPr>
        <w:pBdr>
          <w:top w:val="nil"/>
          <w:left w:val="nil"/>
          <w:bottom w:val="nil"/>
          <w:right w:val="nil"/>
          <w:between w:val="nil"/>
          <w:bar w:val="nil"/>
        </w:pBdr>
        <w:spacing w:after="0" w:line="240" w:lineRule="auto"/>
        <w:rPr>
          <w:rFonts w:ascii="Cambria" w:eastAsia="Calibri" w:hAnsi="Cambria" w:cs="Arial"/>
          <w:b/>
          <w:bCs/>
          <w:color w:val="000000"/>
          <w:sz w:val="24"/>
          <w:szCs w:val="24"/>
          <w:u w:color="000000"/>
          <w:bdr w:val="nil"/>
        </w:rPr>
      </w:pPr>
    </w:p>
    <w:p w14:paraId="29889919" w14:textId="77777777" w:rsidR="00860AC9" w:rsidRPr="005B3EAC" w:rsidRDefault="00860AC9" w:rsidP="00860AC9">
      <w:pPr>
        <w:pBdr>
          <w:top w:val="nil"/>
          <w:left w:val="nil"/>
          <w:bottom w:val="nil"/>
          <w:right w:val="nil"/>
          <w:between w:val="nil"/>
          <w:bar w:val="nil"/>
        </w:pBdr>
        <w:spacing w:after="0" w:line="240" w:lineRule="auto"/>
        <w:jc w:val="center"/>
        <w:rPr>
          <w:rFonts w:ascii="Cambria" w:eastAsia="Calibri" w:hAnsi="Cambria" w:cs="Arial"/>
          <w:b/>
          <w:bCs/>
          <w:color w:val="000000"/>
          <w:sz w:val="24"/>
          <w:szCs w:val="24"/>
          <w:u w:color="000000"/>
          <w:bdr w:val="nil"/>
        </w:rPr>
      </w:pPr>
    </w:p>
    <w:p w14:paraId="786615B7" w14:textId="77777777" w:rsidR="00860AC9" w:rsidRPr="005B3EAC" w:rsidRDefault="00860AC9" w:rsidP="00860AC9">
      <w:pPr>
        <w:pBdr>
          <w:top w:val="nil"/>
          <w:left w:val="nil"/>
          <w:bottom w:val="nil"/>
          <w:right w:val="nil"/>
          <w:between w:val="nil"/>
          <w:bar w:val="nil"/>
        </w:pBdr>
        <w:spacing w:after="0" w:line="240" w:lineRule="auto"/>
        <w:jc w:val="center"/>
        <w:rPr>
          <w:rFonts w:ascii="Cambria" w:eastAsia="Calibri" w:hAnsi="Cambria" w:cs="Arial"/>
          <w:b/>
          <w:bCs/>
          <w:color w:val="000000"/>
          <w:sz w:val="24"/>
          <w:szCs w:val="24"/>
          <w:u w:color="000000"/>
          <w:bdr w:val="nil"/>
        </w:rPr>
      </w:pPr>
      <w:r w:rsidRPr="005B3EAC">
        <w:rPr>
          <w:rFonts w:ascii="Cambria" w:eastAsia="Calibri" w:hAnsi="Cambria" w:cs="Arial"/>
          <w:b/>
          <w:bCs/>
          <w:color w:val="000000"/>
          <w:sz w:val="24"/>
          <w:szCs w:val="24"/>
          <w:u w:color="000000"/>
          <w:bdr w:val="nil"/>
        </w:rPr>
        <w:t>J. JESÚS GUERRERO ZÚÑIGA</w:t>
      </w:r>
    </w:p>
    <w:p w14:paraId="7F5C122D" w14:textId="77777777" w:rsidR="00860AC9" w:rsidRPr="005B3EAC" w:rsidRDefault="00860AC9" w:rsidP="00860AC9">
      <w:pPr>
        <w:pBdr>
          <w:top w:val="nil"/>
          <w:left w:val="nil"/>
          <w:bottom w:val="nil"/>
          <w:right w:val="nil"/>
          <w:between w:val="nil"/>
          <w:bar w:val="nil"/>
        </w:pBdr>
        <w:spacing w:after="0" w:line="240" w:lineRule="auto"/>
        <w:jc w:val="center"/>
        <w:rPr>
          <w:rFonts w:ascii="Cambria" w:eastAsia="Calibri" w:hAnsi="Cambria" w:cs="Arial"/>
          <w:bCs/>
          <w:color w:val="000000"/>
          <w:sz w:val="24"/>
          <w:szCs w:val="24"/>
          <w:u w:color="000000"/>
          <w:bdr w:val="nil"/>
        </w:rPr>
      </w:pPr>
      <w:r w:rsidRPr="005B3EAC">
        <w:rPr>
          <w:rFonts w:ascii="Cambria" w:eastAsia="Calibri" w:hAnsi="Cambria" w:cs="Arial"/>
          <w:bCs/>
          <w:color w:val="000000"/>
          <w:sz w:val="24"/>
          <w:szCs w:val="24"/>
          <w:u w:color="000000"/>
          <w:bdr w:val="nil"/>
        </w:rPr>
        <w:t>Presidente Municipal de Zapotlán el Grande, Jalisco.</w:t>
      </w:r>
    </w:p>
    <w:p w14:paraId="0A323C91" w14:textId="77777777" w:rsidR="00860AC9" w:rsidRPr="005B3EAC" w:rsidRDefault="00860AC9" w:rsidP="00860AC9">
      <w:pPr>
        <w:spacing w:after="0" w:line="240" w:lineRule="auto"/>
        <w:rPr>
          <w:rFonts w:ascii="Cambria" w:eastAsia="Arial Unicode MS" w:hAnsi="Cambria" w:cs="Arial"/>
          <w:b/>
          <w:sz w:val="24"/>
          <w:szCs w:val="24"/>
          <w:bdr w:val="nil"/>
          <w:lang w:val="es-ES"/>
        </w:rPr>
      </w:pPr>
    </w:p>
    <w:p w14:paraId="444A2FA9" w14:textId="77777777" w:rsidR="00860AC9" w:rsidRPr="00B96B16" w:rsidRDefault="00860AC9" w:rsidP="00860AC9">
      <w:pPr>
        <w:spacing w:after="0" w:line="240" w:lineRule="auto"/>
        <w:jc w:val="both"/>
        <w:rPr>
          <w:rFonts w:ascii="Cambria" w:eastAsia="Arial Unicode MS" w:hAnsi="Cambria" w:cs="Arial"/>
          <w:sz w:val="20"/>
          <w:szCs w:val="24"/>
          <w:bdr w:val="nil"/>
          <w:lang w:val="es-ES"/>
        </w:rPr>
      </w:pPr>
      <w:proofErr w:type="spellStart"/>
      <w:r w:rsidRPr="00B96B16">
        <w:rPr>
          <w:rFonts w:ascii="Cambria" w:eastAsia="Arial Unicode MS" w:hAnsi="Cambria" w:cs="Arial"/>
          <w:sz w:val="20"/>
          <w:szCs w:val="24"/>
          <w:bdr w:val="nil"/>
          <w:lang w:val="es-ES"/>
        </w:rPr>
        <w:t>C.c.p</w:t>
      </w:r>
      <w:proofErr w:type="spellEnd"/>
      <w:r w:rsidRPr="00B96B16">
        <w:rPr>
          <w:rFonts w:ascii="Cambria" w:eastAsia="Arial Unicode MS" w:hAnsi="Cambria" w:cs="Arial"/>
          <w:sz w:val="20"/>
          <w:szCs w:val="24"/>
          <w:bdr w:val="nil"/>
          <w:lang w:val="es-ES"/>
        </w:rPr>
        <w:t>. Archivo</w:t>
      </w:r>
    </w:p>
    <w:p w14:paraId="5CA44219" w14:textId="1110E46E" w:rsidR="00E56E00" w:rsidRPr="00B96B16" w:rsidRDefault="00860AC9" w:rsidP="00B96B16">
      <w:pPr>
        <w:spacing w:after="0" w:line="240" w:lineRule="auto"/>
        <w:jc w:val="both"/>
        <w:rPr>
          <w:rFonts w:ascii="Cambria" w:eastAsia="Arial Unicode MS" w:hAnsi="Cambria" w:cs="Arial"/>
          <w:sz w:val="20"/>
          <w:szCs w:val="24"/>
          <w:bdr w:val="nil"/>
          <w:lang w:val="es-ES"/>
        </w:rPr>
      </w:pPr>
      <w:r w:rsidRPr="00B96B16">
        <w:rPr>
          <w:rFonts w:ascii="Cambria" w:eastAsia="Arial Unicode MS" w:hAnsi="Cambria" w:cs="Arial"/>
          <w:sz w:val="20"/>
          <w:szCs w:val="24"/>
          <w:bdr w:val="nil"/>
          <w:lang w:val="es-ES"/>
        </w:rPr>
        <w:t>JJGZ/</w:t>
      </w:r>
      <w:proofErr w:type="spellStart"/>
      <w:r w:rsidRPr="00B96B16">
        <w:rPr>
          <w:rFonts w:ascii="Cambria" w:eastAsia="Arial Unicode MS" w:hAnsi="Cambria" w:cs="Arial"/>
          <w:sz w:val="20"/>
          <w:szCs w:val="24"/>
          <w:bdr w:val="nil"/>
          <w:lang w:val="es-ES"/>
        </w:rPr>
        <w:t>cego</w:t>
      </w:r>
      <w:proofErr w:type="spellEnd"/>
    </w:p>
    <w:sectPr w:rsidR="00E56E00" w:rsidRPr="00B96B16" w:rsidSect="008C66EF">
      <w:headerReference w:type="default" r:id="rId7"/>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4D1B4" w14:textId="77777777" w:rsidR="0056028F" w:rsidRDefault="0056028F">
      <w:pPr>
        <w:spacing w:after="0" w:line="240" w:lineRule="auto"/>
      </w:pPr>
      <w:r>
        <w:separator/>
      </w:r>
    </w:p>
  </w:endnote>
  <w:endnote w:type="continuationSeparator" w:id="0">
    <w:p w14:paraId="79A961BF" w14:textId="77777777" w:rsidR="0056028F" w:rsidRDefault="0056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2D053" w14:textId="77777777" w:rsidR="0056028F" w:rsidRDefault="0056028F">
      <w:pPr>
        <w:spacing w:after="0" w:line="240" w:lineRule="auto"/>
      </w:pPr>
      <w:r>
        <w:separator/>
      </w:r>
    </w:p>
  </w:footnote>
  <w:footnote w:type="continuationSeparator" w:id="0">
    <w:p w14:paraId="14FB0909" w14:textId="77777777" w:rsidR="0056028F" w:rsidRDefault="00560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F600" w14:textId="77777777" w:rsidR="008C66EF" w:rsidRDefault="0056028F">
    <w:pPr>
      <w:pStyle w:val="Cabeceraypie"/>
    </w:pPr>
    <w:r>
      <w:rPr>
        <w:noProof/>
        <w:lang w:val="es-MX" w:eastAsia="es-MX"/>
      </w:rPr>
      <w:pict w14:anchorId="3D20C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8.4pt;margin-top:-121.3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04B26"/>
    <w:multiLevelType w:val="hybridMultilevel"/>
    <w:tmpl w:val="3048A2B4"/>
    <w:lvl w:ilvl="0" w:tplc="51A246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25E5535"/>
    <w:multiLevelType w:val="hybridMultilevel"/>
    <w:tmpl w:val="5B1A4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C9"/>
    <w:rsid w:val="000454FB"/>
    <w:rsid w:val="000C0890"/>
    <w:rsid w:val="0019635D"/>
    <w:rsid w:val="001B76E8"/>
    <w:rsid w:val="001D17EF"/>
    <w:rsid w:val="00250148"/>
    <w:rsid w:val="002E017E"/>
    <w:rsid w:val="003003F9"/>
    <w:rsid w:val="00495F01"/>
    <w:rsid w:val="004D14A3"/>
    <w:rsid w:val="0056028F"/>
    <w:rsid w:val="005B3EAC"/>
    <w:rsid w:val="006C40F0"/>
    <w:rsid w:val="006E4091"/>
    <w:rsid w:val="006F7816"/>
    <w:rsid w:val="00747453"/>
    <w:rsid w:val="00753632"/>
    <w:rsid w:val="00783EDF"/>
    <w:rsid w:val="007C7448"/>
    <w:rsid w:val="00860AC9"/>
    <w:rsid w:val="00925078"/>
    <w:rsid w:val="009F6BD7"/>
    <w:rsid w:val="00A068C3"/>
    <w:rsid w:val="00A4641F"/>
    <w:rsid w:val="00A916F5"/>
    <w:rsid w:val="00A9369E"/>
    <w:rsid w:val="00B51600"/>
    <w:rsid w:val="00B62AE5"/>
    <w:rsid w:val="00B96B16"/>
    <w:rsid w:val="00BD4D10"/>
    <w:rsid w:val="00BE0E04"/>
    <w:rsid w:val="00C32E98"/>
    <w:rsid w:val="00CC224F"/>
    <w:rsid w:val="00E44096"/>
    <w:rsid w:val="00E56E00"/>
    <w:rsid w:val="00E82AB8"/>
    <w:rsid w:val="00EA43B5"/>
    <w:rsid w:val="00EB727E"/>
    <w:rsid w:val="00EC0B28"/>
    <w:rsid w:val="00F20802"/>
    <w:rsid w:val="00F5498A"/>
    <w:rsid w:val="00F60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DC3657"/>
  <w15:chartTrackingRefBased/>
  <w15:docId w15:val="{39EB1079-182D-4417-9521-736557FA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AC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860AC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character" w:styleId="Refdecomentario">
    <w:name w:val="annotation reference"/>
    <w:basedOn w:val="Fuentedeprrafopredeter"/>
    <w:uiPriority w:val="99"/>
    <w:semiHidden/>
    <w:unhideWhenUsed/>
    <w:rsid w:val="00860AC9"/>
    <w:rPr>
      <w:sz w:val="16"/>
      <w:szCs w:val="16"/>
    </w:rPr>
  </w:style>
  <w:style w:type="paragraph" w:styleId="Textocomentario">
    <w:name w:val="annotation text"/>
    <w:basedOn w:val="Normal"/>
    <w:link w:val="TextocomentarioCar"/>
    <w:uiPriority w:val="99"/>
    <w:semiHidden/>
    <w:unhideWhenUsed/>
    <w:rsid w:val="00860A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0AC9"/>
    <w:rPr>
      <w:sz w:val="20"/>
      <w:szCs w:val="20"/>
    </w:rPr>
  </w:style>
  <w:style w:type="paragraph" w:styleId="Textodeglobo">
    <w:name w:val="Balloon Text"/>
    <w:basedOn w:val="Normal"/>
    <w:link w:val="TextodegloboCar"/>
    <w:uiPriority w:val="99"/>
    <w:semiHidden/>
    <w:unhideWhenUsed/>
    <w:rsid w:val="00860A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0AC9"/>
    <w:rPr>
      <w:rFonts w:ascii="Segoe UI" w:hAnsi="Segoe UI" w:cs="Segoe UI"/>
      <w:sz w:val="18"/>
      <w:szCs w:val="18"/>
    </w:rPr>
  </w:style>
  <w:style w:type="paragraph" w:styleId="Prrafodelista">
    <w:name w:val="List Paragraph"/>
    <w:basedOn w:val="Normal"/>
    <w:uiPriority w:val="34"/>
    <w:qFormat/>
    <w:rsid w:val="00EC0B28"/>
    <w:pPr>
      <w:ind w:left="720"/>
      <w:contextualSpacing/>
    </w:pPr>
  </w:style>
  <w:style w:type="character" w:styleId="Hipervnculo">
    <w:name w:val="Hyperlink"/>
    <w:basedOn w:val="Fuentedeprrafopredeter"/>
    <w:uiPriority w:val="99"/>
    <w:unhideWhenUsed/>
    <w:rsid w:val="000C0890"/>
    <w:rPr>
      <w:color w:val="0563C1" w:themeColor="hyperlink"/>
      <w:u w:val="single"/>
    </w:rPr>
  </w:style>
  <w:style w:type="paragraph" w:styleId="NormalWeb">
    <w:name w:val="Normal (Web)"/>
    <w:basedOn w:val="Normal"/>
    <w:uiPriority w:val="99"/>
    <w:semiHidden/>
    <w:unhideWhenUsed/>
    <w:rsid w:val="006C40F0"/>
    <w:rPr>
      <w:rFonts w:ascii="Times New Roman" w:hAnsi="Times New Roman" w:cs="Times New Roman"/>
      <w:sz w:val="24"/>
      <w:szCs w:val="24"/>
    </w:rPr>
  </w:style>
  <w:style w:type="table" w:styleId="Tablaconcuadrcula">
    <w:name w:val="Table Grid"/>
    <w:basedOn w:val="Tablanormal"/>
    <w:uiPriority w:val="39"/>
    <w:rsid w:val="00753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5">
    <w:name w:val="Grid Table 4 Accent 5"/>
    <w:basedOn w:val="Tablanormal"/>
    <w:uiPriority w:val="49"/>
    <w:rsid w:val="00B96B1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561">
      <w:bodyDiv w:val="1"/>
      <w:marLeft w:val="0"/>
      <w:marRight w:val="0"/>
      <w:marTop w:val="0"/>
      <w:marBottom w:val="0"/>
      <w:divBdr>
        <w:top w:val="none" w:sz="0" w:space="0" w:color="auto"/>
        <w:left w:val="none" w:sz="0" w:space="0" w:color="auto"/>
        <w:bottom w:val="none" w:sz="0" w:space="0" w:color="auto"/>
        <w:right w:val="none" w:sz="0" w:space="0" w:color="auto"/>
      </w:divBdr>
    </w:div>
    <w:div w:id="724792446">
      <w:bodyDiv w:val="1"/>
      <w:marLeft w:val="0"/>
      <w:marRight w:val="0"/>
      <w:marTop w:val="0"/>
      <w:marBottom w:val="0"/>
      <w:divBdr>
        <w:top w:val="none" w:sz="0" w:space="0" w:color="auto"/>
        <w:left w:val="none" w:sz="0" w:space="0" w:color="auto"/>
        <w:bottom w:val="none" w:sz="0" w:space="0" w:color="auto"/>
        <w:right w:val="none" w:sz="0" w:space="0" w:color="auto"/>
      </w:divBdr>
    </w:div>
    <w:div w:id="1313024057">
      <w:bodyDiv w:val="1"/>
      <w:marLeft w:val="0"/>
      <w:marRight w:val="0"/>
      <w:marTop w:val="0"/>
      <w:marBottom w:val="0"/>
      <w:divBdr>
        <w:top w:val="none" w:sz="0" w:space="0" w:color="auto"/>
        <w:left w:val="none" w:sz="0" w:space="0" w:color="auto"/>
        <w:bottom w:val="none" w:sz="0" w:space="0" w:color="auto"/>
        <w:right w:val="none" w:sz="0" w:space="0" w:color="auto"/>
      </w:divBdr>
      <w:divsChild>
        <w:div w:id="107435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9</Pages>
  <Words>3464</Words>
  <Characters>19054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10</cp:revision>
  <dcterms:created xsi:type="dcterms:W3CDTF">2020-06-14T19:48:00Z</dcterms:created>
  <dcterms:modified xsi:type="dcterms:W3CDTF">2020-06-16T18:33:00Z</dcterms:modified>
</cp:coreProperties>
</file>