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8DF" w:rsidRPr="00C82A5B" w:rsidRDefault="009C68DF" w:rsidP="009C68DF">
      <w:pPr>
        <w:spacing w:after="0" w:line="240" w:lineRule="auto"/>
        <w:jc w:val="center"/>
        <w:rPr>
          <w:rFonts w:cstheme="minorHAnsi"/>
          <w:b/>
          <w:sz w:val="25"/>
          <w:szCs w:val="25"/>
          <w:u w:val="single"/>
          <w:lang w:val="es-ES_tradnl"/>
        </w:rPr>
      </w:pPr>
      <w:r w:rsidRPr="00C82A5B">
        <w:rPr>
          <w:rFonts w:cstheme="minorHAnsi"/>
          <w:b/>
          <w:sz w:val="25"/>
          <w:szCs w:val="25"/>
          <w:u w:val="single"/>
          <w:lang w:val="es-ES_tradnl"/>
        </w:rPr>
        <w:t xml:space="preserve">ANEXO 04 – </w:t>
      </w:r>
      <w:r w:rsidRPr="00C82A5B">
        <w:rPr>
          <w:rFonts w:cstheme="minorHAnsi"/>
          <w:b/>
          <w:sz w:val="25"/>
          <w:szCs w:val="25"/>
          <w:u w:val="single"/>
        </w:rPr>
        <w:t>“SANCIONES Y PENALIZACIONES”</w:t>
      </w:r>
      <w:r w:rsidRPr="00C82A5B">
        <w:rPr>
          <w:rFonts w:cstheme="minorHAnsi"/>
          <w:b/>
          <w:sz w:val="25"/>
          <w:szCs w:val="25"/>
          <w:u w:val="single"/>
          <w:lang w:val="es-ES_tradnl"/>
        </w:rPr>
        <w:t xml:space="preserve"> </w:t>
      </w:r>
    </w:p>
    <w:p w:rsidR="009C68DF" w:rsidRPr="00C82A5B" w:rsidRDefault="009C68DF" w:rsidP="009C68DF">
      <w:pPr>
        <w:spacing w:after="0" w:line="240" w:lineRule="auto"/>
        <w:jc w:val="center"/>
        <w:rPr>
          <w:rFonts w:cstheme="minorHAnsi"/>
          <w:b/>
          <w:sz w:val="25"/>
          <w:szCs w:val="25"/>
          <w:u w:val="single"/>
          <w:lang w:val="es-ES_tradnl"/>
        </w:rPr>
      </w:pPr>
    </w:p>
    <w:p w:rsidR="009C68DF" w:rsidRPr="00C82A5B" w:rsidRDefault="009C68DF" w:rsidP="009C68DF">
      <w:pPr>
        <w:spacing w:after="0" w:line="240" w:lineRule="auto"/>
        <w:jc w:val="both"/>
        <w:rPr>
          <w:rFonts w:cstheme="minorHAnsi"/>
          <w:sz w:val="25"/>
          <w:szCs w:val="25"/>
          <w:lang w:val="es-ES_tradnl"/>
        </w:rPr>
      </w:pPr>
      <w:r w:rsidRPr="00C82A5B">
        <w:rPr>
          <w:rFonts w:cstheme="minorHAnsi"/>
          <w:sz w:val="25"/>
          <w:szCs w:val="25"/>
          <w:lang w:val="es-ES_tradnl"/>
        </w:rPr>
        <w:t xml:space="preserve">El presente Anexo forma parte integral del </w:t>
      </w:r>
      <w:r w:rsidRPr="00C82A5B">
        <w:rPr>
          <w:rFonts w:cstheme="minorHAnsi"/>
          <w:b/>
          <w:sz w:val="25"/>
          <w:szCs w:val="25"/>
          <w:lang w:val="es-ES_tradnl"/>
        </w:rPr>
        <w:t xml:space="preserve">CONTRATO DE CONCESIÓN DEL PROYECTO DE MODERNIZACIÓN SUSTENTABLE DEL SISTEMA DE ALUMBRADO PÚBLICO PARA EL MUNICIPIO DE ZAPOTLÁN EL GRANDE, JALISCO, INCLUYENDO SU SUSTITITUCIÓN, MANTENIMIENTO Y OPERACIÓN, </w:t>
      </w:r>
      <w:r w:rsidRPr="00C82A5B">
        <w:rPr>
          <w:rFonts w:cstheme="minorHAnsi"/>
          <w:sz w:val="25"/>
          <w:szCs w:val="25"/>
          <w:lang w:val="es-ES_tradnl"/>
        </w:rPr>
        <w:t xml:space="preserve">de fecha </w:t>
      </w:r>
      <w:r w:rsidRPr="009C68DF">
        <w:rPr>
          <w:rFonts w:cstheme="minorHAnsi"/>
          <w:sz w:val="25"/>
          <w:szCs w:val="25"/>
          <w:lang w:val="es-ES_tradnl"/>
        </w:rPr>
        <w:t xml:space="preserve">---- </w:t>
      </w:r>
      <w:r w:rsidRPr="00C82A5B">
        <w:rPr>
          <w:rFonts w:cstheme="minorHAnsi"/>
          <w:sz w:val="25"/>
          <w:szCs w:val="25"/>
          <w:lang w:val="es-ES_tradnl"/>
        </w:rPr>
        <w:t xml:space="preserve"> de Julio del año 2020 dos mil veinte, leído que fue por LAS PARTES, lo rubrican de conformidad en Ciudad Guzmán; Municipio de Zapotlán El Grande, en el Estado de Jalisco, por triplicado, con fecha </w:t>
      </w:r>
      <w:r w:rsidRPr="009C68DF">
        <w:rPr>
          <w:rFonts w:cstheme="minorHAnsi"/>
          <w:sz w:val="25"/>
          <w:szCs w:val="25"/>
          <w:lang w:val="es-ES_tradnl"/>
        </w:rPr>
        <w:t xml:space="preserve">---- </w:t>
      </w:r>
      <w:r w:rsidRPr="00C82A5B">
        <w:rPr>
          <w:rFonts w:cstheme="minorHAnsi"/>
          <w:sz w:val="25"/>
          <w:szCs w:val="25"/>
          <w:lang w:val="es-ES_tradnl"/>
        </w:rPr>
        <w:t xml:space="preserve">de Julio del año 2020 dos mil veinte. </w:t>
      </w:r>
    </w:p>
    <w:p w:rsidR="009C68DF" w:rsidRPr="00C82A5B" w:rsidRDefault="009C68DF" w:rsidP="009C68DF">
      <w:pPr>
        <w:spacing w:after="0" w:line="240" w:lineRule="auto"/>
        <w:rPr>
          <w:rFonts w:ascii="Arial" w:hAnsi="Arial" w:cs="Arial"/>
          <w:b/>
          <w:sz w:val="25"/>
          <w:szCs w:val="25"/>
          <w:lang w:val="es-ES_tradnl"/>
        </w:rPr>
      </w:pPr>
    </w:p>
    <w:tbl>
      <w:tblPr>
        <w:tblStyle w:val="Tablaconcuadrcula"/>
        <w:tblW w:w="0" w:type="auto"/>
        <w:tblLook w:val="04A0" w:firstRow="1" w:lastRow="0" w:firstColumn="1" w:lastColumn="0" w:noHBand="0" w:noVBand="1"/>
      </w:tblPr>
      <w:tblGrid>
        <w:gridCol w:w="4403"/>
        <w:gridCol w:w="4425"/>
      </w:tblGrid>
      <w:tr w:rsidR="009C68DF" w:rsidRPr="00C82A5B" w:rsidTr="004507C6">
        <w:tc>
          <w:tcPr>
            <w:tcW w:w="10076" w:type="dxa"/>
            <w:gridSpan w:val="2"/>
          </w:tcPr>
          <w:p w:rsidR="009C68DF" w:rsidRPr="00C82A5B" w:rsidRDefault="009C68DF" w:rsidP="004507C6">
            <w:pPr>
              <w:jc w:val="center"/>
              <w:rPr>
                <w:rFonts w:eastAsia="Calibri"/>
                <w:b/>
                <w:lang w:eastAsia="es-MX"/>
              </w:rPr>
            </w:pPr>
            <w:r w:rsidRPr="00C82A5B">
              <w:rPr>
                <w:rFonts w:eastAsia="Calibri"/>
                <w:b/>
                <w:lang w:eastAsia="es-MX"/>
              </w:rPr>
              <w:t>ANEXO 04 “SANCIONES Y PENALIZACIONES”</w:t>
            </w:r>
          </w:p>
          <w:p w:rsidR="009C68DF" w:rsidRPr="00C82A5B" w:rsidRDefault="009C68DF" w:rsidP="004507C6">
            <w:pPr>
              <w:rPr>
                <w:rFonts w:eastAsia="Calibri"/>
                <w:b/>
                <w:lang w:eastAsia="es-MX"/>
              </w:rPr>
            </w:pPr>
          </w:p>
        </w:tc>
      </w:tr>
      <w:tr w:rsidR="009C68DF" w:rsidRPr="00C82A5B" w:rsidTr="004507C6">
        <w:tc>
          <w:tcPr>
            <w:tcW w:w="5038" w:type="dxa"/>
          </w:tcPr>
          <w:p w:rsidR="009C68DF" w:rsidRPr="00C82A5B" w:rsidRDefault="009C68DF" w:rsidP="004507C6">
            <w:pPr>
              <w:rPr>
                <w:rFonts w:eastAsia="Calibri"/>
                <w:b/>
                <w:lang w:eastAsia="es-MX"/>
              </w:rPr>
            </w:pPr>
            <w:r w:rsidRPr="00C82A5B">
              <w:rPr>
                <w:rFonts w:eastAsia="Calibri"/>
                <w:b/>
                <w:lang w:eastAsia="es-MX"/>
              </w:rPr>
              <w:t>TIPO PENALIZACIÓN Y/O SANCIÓN</w:t>
            </w:r>
          </w:p>
        </w:tc>
        <w:tc>
          <w:tcPr>
            <w:tcW w:w="5038" w:type="dxa"/>
          </w:tcPr>
          <w:p w:rsidR="009C68DF" w:rsidRPr="00C82A5B" w:rsidRDefault="009C68DF" w:rsidP="004507C6">
            <w:pPr>
              <w:jc w:val="center"/>
              <w:rPr>
                <w:rFonts w:eastAsia="Calibri"/>
                <w:b/>
                <w:lang w:eastAsia="es-MX"/>
              </w:rPr>
            </w:pPr>
            <w:r w:rsidRPr="00C82A5B">
              <w:rPr>
                <w:rFonts w:eastAsia="Calibri"/>
                <w:b/>
                <w:lang w:eastAsia="es-MX"/>
              </w:rPr>
              <w:t>FÓRMULA</w:t>
            </w:r>
          </w:p>
        </w:tc>
      </w:tr>
      <w:tr w:rsidR="009C68DF" w:rsidRPr="00C82A5B" w:rsidTr="004507C6">
        <w:tc>
          <w:tcPr>
            <w:tcW w:w="5038" w:type="dxa"/>
          </w:tcPr>
          <w:p w:rsidR="009C68DF" w:rsidRPr="00C82A5B" w:rsidRDefault="009C68DF" w:rsidP="004507C6">
            <w:pPr>
              <w:rPr>
                <w:rFonts w:eastAsia="Calibri"/>
                <w:b/>
                <w:lang w:eastAsia="es-MX"/>
              </w:rPr>
            </w:pPr>
          </w:p>
          <w:p w:rsidR="009C68DF" w:rsidRPr="00C82A5B" w:rsidRDefault="009C68DF" w:rsidP="004507C6">
            <w:pPr>
              <w:rPr>
                <w:rFonts w:eastAsia="Calibri"/>
                <w:b/>
                <w:lang w:eastAsia="es-MX"/>
              </w:rPr>
            </w:pPr>
            <w:r w:rsidRPr="00C82A5B">
              <w:rPr>
                <w:rFonts w:eastAsia="Calibri"/>
                <w:b/>
                <w:lang w:eastAsia="es-MX"/>
              </w:rPr>
              <w:t>Por atrasos en la eta</w:t>
            </w:r>
            <w:bookmarkStart w:id="0" w:name="_GoBack"/>
            <w:bookmarkEnd w:id="0"/>
            <w:r w:rsidRPr="00C82A5B">
              <w:rPr>
                <w:rFonts w:eastAsia="Calibri"/>
                <w:b/>
                <w:lang w:eastAsia="es-MX"/>
              </w:rPr>
              <w:t>pa de instalación (Primera Sustitución) de “LA CONCESIONARIA”</w:t>
            </w:r>
          </w:p>
        </w:tc>
        <w:tc>
          <w:tcPr>
            <w:tcW w:w="5038" w:type="dxa"/>
          </w:tcPr>
          <w:p w:rsidR="009C68DF" w:rsidRPr="00C82A5B" w:rsidRDefault="009C68DF" w:rsidP="004507C6">
            <w:pPr>
              <w:jc w:val="both"/>
              <w:rPr>
                <w:rFonts w:eastAsia="Calibri"/>
                <w:b/>
                <w:lang w:eastAsia="es-MX"/>
              </w:rPr>
            </w:pPr>
            <w:r w:rsidRPr="00C82A5B">
              <w:rPr>
                <w:rFonts w:eastAsia="Calibri"/>
                <w:lang w:eastAsia="es-MX"/>
              </w:rPr>
              <w:t xml:space="preserve">Por cada día de atraso en el cumplimiento de las fechas pactadas, de conformidad al </w:t>
            </w:r>
            <w:r w:rsidRPr="00C82A5B">
              <w:rPr>
                <w:rFonts w:eastAsia="Calibri"/>
                <w:b/>
                <w:lang w:eastAsia="es-MX"/>
              </w:rPr>
              <w:t>ANEXO 03 “Programa de Instalación y Modernización (Obras y acciones a realizar)”</w:t>
            </w:r>
            <w:r w:rsidRPr="00C82A5B">
              <w:rPr>
                <w:rFonts w:eastAsia="Calibri"/>
                <w:lang w:eastAsia="es-MX"/>
              </w:rPr>
              <w:t xml:space="preserve">, </w:t>
            </w:r>
            <w:r w:rsidRPr="00C82A5B">
              <w:rPr>
                <w:rFonts w:eastAsia="Calibri"/>
                <w:b/>
                <w:lang w:eastAsia="es-MX"/>
              </w:rPr>
              <w:t>“EL MUNICIPIO”</w:t>
            </w:r>
            <w:r w:rsidRPr="00C82A5B">
              <w:rPr>
                <w:rFonts w:eastAsia="Calibri"/>
                <w:lang w:eastAsia="es-MX"/>
              </w:rPr>
              <w:t xml:space="preserve"> aplicará una pena convencional del 10% (diez por ciento) mensual, aplicado proporcionalmente a cada día de atraso, y directamente proporcional al valor de la inversión por las luminarias y equipo que a la fecha de cumplimiento fueren pendiente de ser instalados</w:t>
            </w:r>
          </w:p>
        </w:tc>
      </w:tr>
      <w:tr w:rsidR="009C68DF" w:rsidRPr="00C82A5B" w:rsidTr="004507C6">
        <w:tc>
          <w:tcPr>
            <w:tcW w:w="5038" w:type="dxa"/>
          </w:tcPr>
          <w:p w:rsidR="009C68DF" w:rsidRPr="00C82A5B" w:rsidRDefault="009C68DF" w:rsidP="004507C6">
            <w:pPr>
              <w:rPr>
                <w:rFonts w:eastAsia="Calibri"/>
                <w:b/>
                <w:lang w:eastAsia="es-MX"/>
              </w:rPr>
            </w:pPr>
            <w:r w:rsidRPr="00C82A5B">
              <w:rPr>
                <w:rFonts w:eastAsia="Calibri"/>
                <w:b/>
                <w:lang w:eastAsia="es-MX"/>
              </w:rPr>
              <w:t xml:space="preserve">Suspensión injustificada de las obras y acciones de conformidad con el calendario del Anexo 03, por parte de “LA CONCESIONARIA” </w:t>
            </w:r>
          </w:p>
        </w:tc>
        <w:tc>
          <w:tcPr>
            <w:tcW w:w="5038" w:type="dxa"/>
          </w:tcPr>
          <w:p w:rsidR="009C68DF" w:rsidRPr="00C82A5B" w:rsidRDefault="009C68DF" w:rsidP="004507C6">
            <w:pPr>
              <w:rPr>
                <w:rFonts w:eastAsia="Calibri"/>
                <w:b/>
                <w:lang w:eastAsia="es-MX"/>
              </w:rPr>
            </w:pPr>
          </w:p>
        </w:tc>
      </w:tr>
      <w:tr w:rsidR="009C68DF" w:rsidRPr="00C82A5B" w:rsidTr="004507C6">
        <w:tc>
          <w:tcPr>
            <w:tcW w:w="5038" w:type="dxa"/>
          </w:tcPr>
          <w:p w:rsidR="009C68DF" w:rsidRPr="00C82A5B" w:rsidRDefault="009C68DF" w:rsidP="004507C6">
            <w:pPr>
              <w:rPr>
                <w:rFonts w:eastAsia="Calibri"/>
                <w:b/>
                <w:lang w:eastAsia="es-MX"/>
              </w:rPr>
            </w:pPr>
            <w:r w:rsidRPr="00C82A5B">
              <w:rPr>
                <w:rFonts w:eastAsia="Calibri"/>
                <w:b/>
                <w:lang w:eastAsia="es-MX"/>
              </w:rPr>
              <w:t>No realizar las obras y acciones acordadas de conformidad con el calendario del Anexo 03 y el contenido del contrato, por parte de “LA CONCESIONARIA”</w:t>
            </w:r>
          </w:p>
        </w:tc>
        <w:tc>
          <w:tcPr>
            <w:tcW w:w="5038" w:type="dxa"/>
          </w:tcPr>
          <w:p w:rsidR="009C68DF" w:rsidRPr="00C82A5B" w:rsidRDefault="009C68DF" w:rsidP="004507C6">
            <w:pPr>
              <w:rPr>
                <w:rFonts w:eastAsia="Calibri"/>
                <w:b/>
                <w:lang w:eastAsia="es-MX"/>
              </w:rPr>
            </w:pPr>
          </w:p>
        </w:tc>
      </w:tr>
      <w:tr w:rsidR="009C68DF" w:rsidRPr="00C82A5B" w:rsidTr="004507C6">
        <w:tc>
          <w:tcPr>
            <w:tcW w:w="5038" w:type="dxa"/>
          </w:tcPr>
          <w:p w:rsidR="009C68DF" w:rsidRPr="00C82A5B" w:rsidRDefault="009C68DF" w:rsidP="004507C6">
            <w:pPr>
              <w:rPr>
                <w:rFonts w:eastAsia="Calibri"/>
                <w:b/>
                <w:lang w:eastAsia="es-MX"/>
              </w:rPr>
            </w:pPr>
            <w:r w:rsidRPr="00C82A5B">
              <w:rPr>
                <w:rFonts w:eastAsia="Calibri"/>
                <w:b/>
                <w:lang w:eastAsia="es-MX"/>
              </w:rPr>
              <w:t xml:space="preserve">No entregar los informes mensuales </w:t>
            </w:r>
          </w:p>
        </w:tc>
        <w:tc>
          <w:tcPr>
            <w:tcW w:w="5038" w:type="dxa"/>
          </w:tcPr>
          <w:p w:rsidR="009C68DF" w:rsidRPr="00C82A5B" w:rsidRDefault="009C68DF" w:rsidP="004507C6">
            <w:pPr>
              <w:rPr>
                <w:rFonts w:eastAsia="Calibri"/>
                <w:b/>
                <w:lang w:eastAsia="es-MX"/>
              </w:rPr>
            </w:pPr>
          </w:p>
        </w:tc>
      </w:tr>
      <w:tr w:rsidR="009C68DF" w:rsidRPr="00C82A5B" w:rsidTr="004507C6">
        <w:tc>
          <w:tcPr>
            <w:tcW w:w="10076" w:type="dxa"/>
            <w:gridSpan w:val="2"/>
          </w:tcPr>
          <w:p w:rsidR="009C68DF" w:rsidRPr="00C82A5B" w:rsidRDefault="009C68DF" w:rsidP="004507C6">
            <w:pPr>
              <w:jc w:val="center"/>
              <w:rPr>
                <w:rFonts w:eastAsia="Calibri"/>
                <w:b/>
                <w:lang w:eastAsia="es-MX"/>
              </w:rPr>
            </w:pPr>
            <w:r w:rsidRPr="00C82A5B">
              <w:rPr>
                <w:rFonts w:eastAsia="Calibri"/>
                <w:b/>
                <w:lang w:eastAsia="es-MX"/>
              </w:rPr>
              <w:t>Por fallas en el Sistema de Alumbrado Público</w:t>
            </w:r>
          </w:p>
        </w:tc>
      </w:tr>
      <w:tr w:rsidR="009C68DF" w:rsidRPr="00C82A5B" w:rsidTr="004507C6">
        <w:tc>
          <w:tcPr>
            <w:tcW w:w="5038" w:type="dxa"/>
          </w:tcPr>
          <w:p w:rsidR="009C68DF" w:rsidRPr="00C82A5B" w:rsidRDefault="009C68DF" w:rsidP="004507C6">
            <w:pPr>
              <w:rPr>
                <w:rFonts w:eastAsia="Calibri"/>
                <w:b/>
                <w:lang w:eastAsia="es-MX"/>
              </w:rPr>
            </w:pPr>
          </w:p>
        </w:tc>
        <w:tc>
          <w:tcPr>
            <w:tcW w:w="5038" w:type="dxa"/>
          </w:tcPr>
          <w:p w:rsidR="009C68DF" w:rsidRPr="00C82A5B" w:rsidRDefault="009C68DF" w:rsidP="004507C6">
            <w:pPr>
              <w:jc w:val="both"/>
              <w:rPr>
                <w:rFonts w:eastAsia="Calibri"/>
                <w:lang w:eastAsia="es-MX"/>
              </w:rPr>
            </w:pPr>
            <w:r w:rsidRPr="00C82A5B">
              <w:rPr>
                <w:rFonts w:eastAsia="Calibri"/>
                <w:lang w:eastAsia="es-MX"/>
              </w:rPr>
              <w:t>Del 0.01 al 5% mensual debajo de la eficiencia del 92% mensual del Sistema de Alumbrado Público, se aplicará una pena convencional de 2.4% (dos puntos cuatro por ciento) de la contraprestación mensual pactadas por las partes.</w:t>
            </w:r>
          </w:p>
        </w:tc>
      </w:tr>
      <w:tr w:rsidR="009C68DF" w:rsidRPr="00C82A5B" w:rsidTr="004507C6">
        <w:tc>
          <w:tcPr>
            <w:tcW w:w="5038" w:type="dxa"/>
          </w:tcPr>
          <w:p w:rsidR="009C68DF" w:rsidRPr="00C82A5B" w:rsidRDefault="009C68DF" w:rsidP="004507C6">
            <w:pPr>
              <w:rPr>
                <w:rFonts w:eastAsia="Calibri"/>
                <w:b/>
                <w:lang w:eastAsia="es-MX"/>
              </w:rPr>
            </w:pPr>
          </w:p>
        </w:tc>
        <w:tc>
          <w:tcPr>
            <w:tcW w:w="5038" w:type="dxa"/>
          </w:tcPr>
          <w:p w:rsidR="009C68DF" w:rsidRPr="00C82A5B" w:rsidRDefault="009C68DF" w:rsidP="004507C6">
            <w:pPr>
              <w:jc w:val="both"/>
              <w:rPr>
                <w:rFonts w:eastAsia="Calibri"/>
                <w:lang w:eastAsia="es-MX"/>
              </w:rPr>
            </w:pPr>
            <w:r w:rsidRPr="00C82A5B">
              <w:rPr>
                <w:rFonts w:eastAsia="Calibri"/>
                <w:lang w:eastAsia="es-MX"/>
              </w:rPr>
              <w:t xml:space="preserve">Por cada punto porcentual mensual arriba del 5% anteriormente mencionado en la </w:t>
            </w:r>
            <w:r w:rsidRPr="00C82A5B">
              <w:rPr>
                <w:rFonts w:eastAsia="Calibri"/>
                <w:lang w:eastAsia="es-MX"/>
              </w:rPr>
              <w:lastRenderedPageBreak/>
              <w:t>ineficiencia del Sistema de Alumbrado Público, se sumará 2.4% (dos punto cuatro por ciento) adicional al 2.4% (dos punto cuatro por ciento) señalado</w:t>
            </w:r>
          </w:p>
        </w:tc>
      </w:tr>
      <w:tr w:rsidR="009C68DF" w:rsidRPr="00C82A5B" w:rsidTr="004507C6">
        <w:tc>
          <w:tcPr>
            <w:tcW w:w="5038" w:type="dxa"/>
          </w:tcPr>
          <w:p w:rsidR="009C68DF" w:rsidRPr="00C82A5B" w:rsidRDefault="009C68DF" w:rsidP="004507C6">
            <w:pPr>
              <w:rPr>
                <w:rFonts w:eastAsia="Calibri"/>
                <w:b/>
                <w:lang w:eastAsia="es-MX"/>
              </w:rPr>
            </w:pPr>
          </w:p>
        </w:tc>
        <w:tc>
          <w:tcPr>
            <w:tcW w:w="5038" w:type="dxa"/>
          </w:tcPr>
          <w:p w:rsidR="009C68DF" w:rsidRPr="00C82A5B" w:rsidRDefault="009C68DF" w:rsidP="004507C6">
            <w:pPr>
              <w:jc w:val="both"/>
              <w:rPr>
                <w:rFonts w:eastAsia="Calibri"/>
                <w:lang w:eastAsia="es-MX"/>
              </w:rPr>
            </w:pPr>
            <w:r w:rsidRPr="00C82A5B">
              <w:rPr>
                <w:rFonts w:eastAsia="Calibri"/>
                <w:lang w:eastAsia="es-MX"/>
              </w:rPr>
              <w:t xml:space="preserve">Por no resolver un reporte ciudadano de falla, cuya existencia sea confirmada, en menos de </w:t>
            </w:r>
            <w:r w:rsidRPr="00C82A5B">
              <w:rPr>
                <w:rFonts w:eastAsia="Calibri"/>
                <w:highlight w:val="green"/>
                <w:lang w:eastAsia="es-MX"/>
              </w:rPr>
              <w:t>72 (setenta y dos)</w:t>
            </w:r>
            <w:r w:rsidRPr="00C82A5B">
              <w:rPr>
                <w:rFonts w:eastAsia="Calibri"/>
                <w:lang w:eastAsia="es-MX"/>
              </w:rPr>
              <w:t xml:space="preserve"> horas, se sancionará de manera equivalente a 0.10% de la contraprestación mensual.</w:t>
            </w:r>
          </w:p>
        </w:tc>
      </w:tr>
    </w:tbl>
    <w:p w:rsidR="009C68DF" w:rsidRPr="00C82A5B" w:rsidRDefault="009C68DF" w:rsidP="009C68DF">
      <w:pPr>
        <w:rPr>
          <w:rFonts w:ascii="Calibri" w:eastAsia="Calibri" w:hAnsi="Calibri" w:cs="Calibri"/>
          <w:b/>
          <w:sz w:val="24"/>
          <w:lang w:eastAsia="es-MX"/>
        </w:rPr>
      </w:pPr>
    </w:p>
    <w:p w:rsidR="009C68DF" w:rsidRPr="00C82A5B" w:rsidRDefault="009C68DF" w:rsidP="009C68DF">
      <w:pPr>
        <w:rPr>
          <w:sz w:val="24"/>
        </w:rPr>
      </w:pPr>
      <w:r w:rsidRPr="00C82A5B">
        <w:rPr>
          <w:sz w:val="24"/>
        </w:rPr>
        <w:t>Para el pago de las penas convencionales el Municipio, a través de la Coordinación General de Servicios Públicos en coordinación con la Tesorería Municipal, informará por escrito al Concesionario el cálculo de la pena correspondiente del incumplimiento, mismo que deberá ser fundado y motivado, con prueba fehaciente, e incluyendo la base para su cálculo y el monto de la penalización a que se haya hecho acreedor, misma que será descontada del pago de la contraprestación inmediata posterior</w:t>
      </w:r>
    </w:p>
    <w:p w:rsidR="009C68DF" w:rsidRPr="00C82A5B" w:rsidRDefault="009C68DF" w:rsidP="009C68DF">
      <w:pPr>
        <w:spacing w:after="0" w:line="240" w:lineRule="auto"/>
        <w:jc w:val="center"/>
        <w:rPr>
          <w:rFonts w:cstheme="minorHAnsi"/>
          <w:b/>
          <w:sz w:val="25"/>
          <w:szCs w:val="25"/>
          <w:highlight w:val="yellow"/>
          <w:lang w:val="es-ES_tradnl"/>
        </w:rPr>
      </w:pPr>
    </w:p>
    <w:p w:rsidR="00E56E00" w:rsidRDefault="00E56E00"/>
    <w:sectPr w:rsidR="00E56E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DF"/>
    <w:rsid w:val="009C68DF"/>
    <w:rsid w:val="00E56E00"/>
    <w:rsid w:val="00EB6B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BC6A9-D390-4D2C-B754-FA39C989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8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C68DF"/>
    <w:pPr>
      <w:spacing w:after="0" w:line="240" w:lineRule="auto"/>
    </w:pPr>
    <w:rPr>
      <w:rFonts w:ascii="Calibri" w:eastAsia="Times New Roman" w:hAnsi="Calibri" w:cs="Calibr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2259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García Orozco</dc:creator>
  <cp:keywords/>
  <dc:description/>
  <cp:lastModifiedBy>Cindy García Orozco</cp:lastModifiedBy>
  <cp:revision>1</cp:revision>
  <dcterms:created xsi:type="dcterms:W3CDTF">2020-07-22T18:51:00Z</dcterms:created>
  <dcterms:modified xsi:type="dcterms:W3CDTF">2020-07-22T19:09:00Z</dcterms:modified>
</cp:coreProperties>
</file>