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782" w:rsidRDefault="004F3782" w:rsidP="001F5EAE">
      <w:pPr>
        <w:tabs>
          <w:tab w:val="left" w:pos="7371"/>
        </w:tabs>
        <w:spacing w:after="0"/>
        <w:jc w:val="both"/>
        <w:rPr>
          <w:rFonts w:ascii="Cambria" w:eastAsia="Calibri" w:hAnsi="Cambria" w:cs="Times New Roman"/>
          <w:b/>
          <w:szCs w:val="24"/>
        </w:rPr>
      </w:pPr>
    </w:p>
    <w:p w:rsidR="00973503" w:rsidRPr="004F3782" w:rsidRDefault="00973503" w:rsidP="001F5EAE">
      <w:pPr>
        <w:tabs>
          <w:tab w:val="left" w:pos="7371"/>
        </w:tabs>
        <w:spacing w:after="0"/>
        <w:jc w:val="both"/>
        <w:rPr>
          <w:rFonts w:ascii="Cambria" w:eastAsia="Calibri" w:hAnsi="Cambria" w:cs="Times New Roman"/>
          <w:b/>
          <w:szCs w:val="24"/>
        </w:rPr>
      </w:pPr>
      <w:r w:rsidRPr="004F3782">
        <w:rPr>
          <w:rFonts w:ascii="Cambria" w:eastAsia="Calibri" w:hAnsi="Cambria" w:cs="Times New Roman"/>
          <w:b/>
          <w:szCs w:val="24"/>
        </w:rPr>
        <w:t xml:space="preserve">HONORABLE AYUNTAMIENTO CONSTITUCIONAL </w:t>
      </w:r>
    </w:p>
    <w:p w:rsidR="00973503" w:rsidRPr="004F3782" w:rsidRDefault="00973503" w:rsidP="001F5EAE">
      <w:pPr>
        <w:spacing w:after="0"/>
        <w:jc w:val="both"/>
        <w:rPr>
          <w:rFonts w:ascii="Cambria" w:eastAsia="Calibri" w:hAnsi="Cambria" w:cs="Times New Roman"/>
          <w:b/>
          <w:szCs w:val="24"/>
        </w:rPr>
      </w:pPr>
      <w:r w:rsidRPr="004F3782">
        <w:rPr>
          <w:rFonts w:ascii="Cambria" w:eastAsia="Calibri" w:hAnsi="Cambria" w:cs="Times New Roman"/>
          <w:b/>
          <w:szCs w:val="24"/>
        </w:rPr>
        <w:t>DE ZAPOTLÁN EL GRANDE, JALISCO</w:t>
      </w:r>
    </w:p>
    <w:p w:rsidR="00973503" w:rsidRPr="004F3782" w:rsidRDefault="00973503" w:rsidP="001F5EAE">
      <w:pPr>
        <w:spacing w:after="0"/>
        <w:jc w:val="both"/>
        <w:rPr>
          <w:rFonts w:ascii="Cambria" w:eastAsia="Calibri" w:hAnsi="Cambria" w:cs="Times New Roman"/>
          <w:szCs w:val="24"/>
        </w:rPr>
      </w:pPr>
      <w:r w:rsidRPr="004F3782">
        <w:rPr>
          <w:rFonts w:ascii="Cambria" w:eastAsia="Calibri" w:hAnsi="Cambria" w:cs="Times New Roman"/>
          <w:b/>
          <w:szCs w:val="24"/>
        </w:rPr>
        <w:t>PRESENTE</w:t>
      </w:r>
    </w:p>
    <w:p w:rsidR="00973503" w:rsidRPr="008B7B3B" w:rsidRDefault="00973503" w:rsidP="001F5EAE">
      <w:pPr>
        <w:spacing w:after="0"/>
        <w:jc w:val="both"/>
        <w:rPr>
          <w:rFonts w:ascii="Cambria" w:eastAsia="Calibri" w:hAnsi="Cambria" w:cs="Times New Roman"/>
          <w:sz w:val="20"/>
          <w:szCs w:val="24"/>
        </w:rPr>
      </w:pPr>
    </w:p>
    <w:p w:rsidR="00973503" w:rsidRPr="00D77BD5" w:rsidRDefault="00A849FA" w:rsidP="001F5EAE">
      <w:pPr>
        <w:spacing w:after="0"/>
        <w:jc w:val="both"/>
        <w:rPr>
          <w:rFonts w:ascii="Cambria" w:eastAsia="Calibri" w:hAnsi="Cambria" w:cs="Times New Roman"/>
        </w:rPr>
      </w:pPr>
      <w:r w:rsidRPr="00D77BD5">
        <w:rPr>
          <w:rFonts w:ascii="Cambria" w:eastAsia="Calibri" w:hAnsi="Cambria" w:cs="Times New Roman"/>
        </w:rPr>
        <w:t xml:space="preserve">Quienes motivan y suscriben </w:t>
      </w:r>
      <w:r w:rsidRPr="00D77BD5">
        <w:rPr>
          <w:rFonts w:ascii="Cambria" w:eastAsia="Calibri" w:hAnsi="Cambria" w:cs="Times New Roman"/>
          <w:b/>
        </w:rPr>
        <w:t xml:space="preserve">LIC. </w:t>
      </w:r>
      <w:r w:rsidR="00B21D61" w:rsidRPr="00D77BD5">
        <w:rPr>
          <w:rFonts w:ascii="Cambria" w:eastAsia="Calibri" w:hAnsi="Cambria" w:cs="Times New Roman"/>
          <w:b/>
        </w:rPr>
        <w:t>LAURA ELENA MARTÍNEZ RUVALCABA</w:t>
      </w:r>
      <w:r w:rsidR="00740D06" w:rsidRPr="00D77BD5">
        <w:rPr>
          <w:rFonts w:ascii="Cambria" w:eastAsia="Calibri" w:hAnsi="Cambria" w:cs="Times New Roman"/>
          <w:b/>
        </w:rPr>
        <w:t xml:space="preserve">, MTRA. CINDY ESTEFANY </w:t>
      </w:r>
      <w:r w:rsidRPr="00D77BD5">
        <w:rPr>
          <w:rFonts w:ascii="Cambria" w:eastAsia="Calibri" w:hAnsi="Cambria" w:cs="Times New Roman"/>
          <w:b/>
        </w:rPr>
        <w:t xml:space="preserve">GARCÍA OROZCO, </w:t>
      </w:r>
      <w:r w:rsidR="00B21D61" w:rsidRPr="00D77BD5">
        <w:rPr>
          <w:rFonts w:ascii="Cambria" w:eastAsia="Calibri" w:hAnsi="Cambria" w:cs="Times New Roman"/>
          <w:b/>
        </w:rPr>
        <w:t>LIC</w:t>
      </w:r>
      <w:r w:rsidR="00FD0A50" w:rsidRPr="00D77BD5">
        <w:rPr>
          <w:rFonts w:ascii="Cambria" w:eastAsia="Calibri" w:hAnsi="Cambria" w:cs="Times New Roman"/>
          <w:b/>
        </w:rPr>
        <w:t xml:space="preserve"> MANUEL DE JESÚS JIMENEZ GARMA </w:t>
      </w:r>
      <w:r w:rsidR="006E42B2" w:rsidRPr="00D77BD5">
        <w:rPr>
          <w:rFonts w:ascii="Cambria" w:eastAsia="Calibri" w:hAnsi="Cambria" w:cs="Times New Roman"/>
          <w:b/>
        </w:rPr>
        <w:t>Y</w:t>
      </w:r>
      <w:r w:rsidRPr="00D77BD5">
        <w:rPr>
          <w:rFonts w:ascii="Cambria" w:eastAsia="Calibri" w:hAnsi="Cambria" w:cs="Times New Roman"/>
          <w:b/>
        </w:rPr>
        <w:t xml:space="preserve"> MTRO. NOÉ SAÚL RAMOS GARCÍA</w:t>
      </w:r>
      <w:r w:rsidR="006E3559" w:rsidRPr="00D77BD5">
        <w:rPr>
          <w:rFonts w:ascii="Cambria" w:eastAsia="Calibri" w:hAnsi="Cambria" w:cs="Times New Roman"/>
          <w:b/>
        </w:rPr>
        <w:t xml:space="preserve"> Y LIC. TANIA MAGDALENA BERNARDINO JUÁREZ</w:t>
      </w:r>
      <w:r w:rsidRPr="00D77BD5">
        <w:rPr>
          <w:rFonts w:ascii="Cambria" w:eastAsia="Calibri" w:hAnsi="Cambria" w:cs="Times New Roman"/>
          <w:b/>
        </w:rPr>
        <w:t>,</w:t>
      </w:r>
      <w:r w:rsidRPr="00D77BD5">
        <w:rPr>
          <w:rFonts w:ascii="Cambria" w:eastAsia="Calibri" w:hAnsi="Cambria" w:cs="Times New Roman"/>
        </w:rPr>
        <w:t xml:space="preserve"> </w:t>
      </w:r>
      <w:r w:rsidR="00795EF9" w:rsidRPr="00D77BD5">
        <w:rPr>
          <w:rFonts w:ascii="Cambria" w:eastAsia="Calibri" w:hAnsi="Cambria" w:cs="Times New Roman"/>
        </w:rPr>
        <w:t xml:space="preserve">en nuestro carácter de Regidores Integrantes de la Comisión Edilicia Permanente de Hacienda Pública y del Patrimonio Municipal del H. Ayuntamiento Constitucional de Zapotlán el Grande, Jalisco, con fundamento en los artículos 115 constitucional fracción II </w:t>
      </w:r>
      <w:r w:rsidR="003179DE" w:rsidRPr="00D77BD5">
        <w:rPr>
          <w:rFonts w:ascii="Cambria" w:eastAsia="Calibri" w:hAnsi="Cambria" w:cs="Times New Roman"/>
        </w:rPr>
        <w:t xml:space="preserve">y IV </w:t>
      </w:r>
      <w:r w:rsidR="00795EF9" w:rsidRPr="00D77BD5">
        <w:rPr>
          <w:rFonts w:ascii="Cambria" w:eastAsia="Calibri" w:hAnsi="Cambria" w:cs="Times New Roman"/>
        </w:rPr>
        <w:t>de nuestra Carta Magna</w:t>
      </w:r>
      <w:r w:rsidR="003179DE" w:rsidRPr="00D77BD5">
        <w:rPr>
          <w:rFonts w:ascii="Cambria" w:eastAsia="Calibri" w:hAnsi="Cambria" w:cs="Times New Roman"/>
        </w:rPr>
        <w:t>;</w:t>
      </w:r>
      <w:r w:rsidR="00795EF9" w:rsidRPr="00D77BD5">
        <w:rPr>
          <w:rFonts w:ascii="Cambria" w:eastAsia="Calibri" w:hAnsi="Cambria" w:cs="Times New Roman"/>
        </w:rPr>
        <w:t xml:space="preserve"> </w:t>
      </w:r>
      <w:r w:rsidR="004F4D1B" w:rsidRPr="00D77BD5">
        <w:rPr>
          <w:rFonts w:ascii="Cambria" w:eastAsia="Calibri" w:hAnsi="Cambria" w:cs="Times New Roman"/>
        </w:rPr>
        <w:t>23 de la Ley de Disciplina Financiera de las Entidades Federativas y los Municipios;</w:t>
      </w:r>
      <w:r w:rsidR="00827C4B" w:rsidRPr="00D77BD5">
        <w:rPr>
          <w:rFonts w:ascii="Cambria" w:eastAsia="Calibri" w:hAnsi="Cambria" w:cs="Times New Roman"/>
        </w:rPr>
        <w:t xml:space="preserve"> </w:t>
      </w:r>
      <w:r w:rsidR="00795EF9" w:rsidRPr="00D77BD5">
        <w:rPr>
          <w:rFonts w:ascii="Cambria" w:eastAsia="Calibri" w:hAnsi="Cambria" w:cs="Times New Roman"/>
        </w:rPr>
        <w:t xml:space="preserve">1, 2, 3, 4, 73, 77, 85, 86, 88, 89 y demás relativos de la Constitución Política del Estado de </w:t>
      </w:r>
      <w:r w:rsidR="00B82D93" w:rsidRPr="00D77BD5">
        <w:rPr>
          <w:rFonts w:ascii="Cambria" w:eastAsia="Calibri" w:hAnsi="Cambria" w:cs="Times New Roman"/>
        </w:rPr>
        <w:t xml:space="preserve">Jalisco; </w:t>
      </w:r>
      <w:r w:rsidR="00795EF9" w:rsidRPr="00D77BD5">
        <w:rPr>
          <w:rFonts w:ascii="Cambria" w:eastAsia="Calibri" w:hAnsi="Cambria" w:cs="Times New Roman"/>
        </w:rPr>
        <w:t xml:space="preserve">1, 2, 3, 4, </w:t>
      </w:r>
      <w:r w:rsidR="00B82D93" w:rsidRPr="00D77BD5">
        <w:rPr>
          <w:rFonts w:ascii="Cambria" w:eastAsia="Calibri" w:hAnsi="Cambria" w:cs="Times New Roman"/>
        </w:rPr>
        <w:t>numeral 125,</w:t>
      </w:r>
      <w:r w:rsidR="00795EF9" w:rsidRPr="00D77BD5">
        <w:rPr>
          <w:rFonts w:ascii="Cambria" w:eastAsia="Calibri" w:hAnsi="Cambria" w:cs="Times New Roman"/>
        </w:rPr>
        <w:t xml:space="preserve"> 5, 10, 27, 29, 30, 34, 35, 41, 49 y 50 de la Ley de Gobierno y la Administración Pública Municipal para el Est</w:t>
      </w:r>
      <w:r w:rsidR="004F4D1B" w:rsidRPr="00D77BD5">
        <w:rPr>
          <w:rFonts w:ascii="Cambria" w:eastAsia="Calibri" w:hAnsi="Cambria" w:cs="Times New Roman"/>
        </w:rPr>
        <w:t xml:space="preserve">ado de Jalisco y sus Municipios; 14 y 24, fracciones V y VI, de la </w:t>
      </w:r>
      <w:r w:rsidR="004F4D1B" w:rsidRPr="00D77BD5">
        <w:rPr>
          <w:rFonts w:ascii="Cambria" w:eastAsia="Calibri" w:hAnsi="Cambria" w:cs="Times New Roman"/>
          <w:bCs/>
        </w:rPr>
        <w:t>Ley de Deuda Pública y Disciplina Financiera del Estado de Jalisco y sus Municipios,</w:t>
      </w:r>
      <w:r w:rsidR="00795EF9" w:rsidRPr="00D77BD5">
        <w:rPr>
          <w:rFonts w:ascii="Cambria" w:eastAsia="Calibri" w:hAnsi="Cambria" w:cs="Times New Roman"/>
        </w:rPr>
        <w:t xml:space="preserve"> así como lo normado en los </w:t>
      </w:r>
      <w:r w:rsidR="00B82D93" w:rsidRPr="00D77BD5">
        <w:rPr>
          <w:rFonts w:ascii="Cambria" w:eastAsia="Calibri" w:hAnsi="Cambria" w:cs="Times New Roman"/>
        </w:rPr>
        <w:t>artículos 40, 47, 60, 87</w:t>
      </w:r>
      <w:r w:rsidR="00795EF9" w:rsidRPr="00D77BD5">
        <w:rPr>
          <w:rFonts w:ascii="Cambria" w:eastAsia="Calibri" w:hAnsi="Cambria" w:cs="Times New Roman"/>
        </w:rPr>
        <w:t xml:space="preserve">, 104 al 109 y demás relativos y aplicables del Reglamento Interior del Ayuntamiento de Zapotlán el Grande, Jalisco; al amparo de lo dispuesto, presentamos a la consideración de este Pleno, </w:t>
      </w:r>
      <w:bookmarkStart w:id="0" w:name="_GoBack"/>
      <w:r w:rsidR="00795EF9" w:rsidRPr="00D77BD5">
        <w:rPr>
          <w:rFonts w:ascii="Cambria" w:eastAsia="Calibri" w:hAnsi="Cambria" w:cs="Times New Roman"/>
          <w:b/>
        </w:rPr>
        <w:t xml:space="preserve">DICTAMEN QUE PROPONE AUTORIZACION PARA </w:t>
      </w:r>
      <w:r w:rsidR="002665D4" w:rsidRPr="00D77BD5">
        <w:rPr>
          <w:rFonts w:ascii="Cambria" w:eastAsia="Calibri" w:hAnsi="Cambria" w:cs="Times New Roman"/>
          <w:b/>
        </w:rPr>
        <w:t xml:space="preserve">LA </w:t>
      </w:r>
      <w:r w:rsidR="00AE4EBE" w:rsidRPr="00D77BD5">
        <w:rPr>
          <w:rFonts w:ascii="Cambria" w:eastAsia="Calibri" w:hAnsi="Cambria" w:cs="Times New Roman"/>
          <w:b/>
        </w:rPr>
        <w:t xml:space="preserve">REESTRUCTURA DE CRÉDITO  CONTRATADO CON EL </w:t>
      </w:r>
      <w:r w:rsidR="00AE4EBE" w:rsidRPr="00D77BD5">
        <w:rPr>
          <w:rFonts w:ascii="Cambria" w:eastAsia="Calibri" w:hAnsi="Cambria" w:cs="Times New Roman"/>
          <w:b/>
          <w:bCs/>
        </w:rPr>
        <w:t>BANCO NACIONAL DE OBRAS Y SERVICIOS PÚBLICOS, S. N. C., INSTITUCIÓN DE BANCA DE DESARROLLO</w:t>
      </w:r>
      <w:r w:rsidR="008F2C69" w:rsidRPr="00D77BD5">
        <w:rPr>
          <w:rFonts w:ascii="Cambria" w:eastAsia="Calibri" w:hAnsi="Cambria" w:cs="Times New Roman"/>
          <w:b/>
        </w:rPr>
        <w:t>,</w:t>
      </w:r>
      <w:r w:rsidR="008F2C69">
        <w:rPr>
          <w:rFonts w:ascii="Cambria" w:eastAsia="Calibri" w:hAnsi="Cambria" w:cs="Times New Roman"/>
          <w:b/>
        </w:rPr>
        <w:t xml:space="preserve"> </w:t>
      </w:r>
      <w:r w:rsidR="008F2C69" w:rsidRPr="008F2C69">
        <w:rPr>
          <w:rFonts w:ascii="Cambria" w:eastAsia="Calibri" w:hAnsi="Cambria" w:cs="Times New Roman"/>
          <w:b/>
          <w:lang w:val="es-ES"/>
        </w:rPr>
        <w:t>CON LA FINALIDAD DE DISMINUIR LA TASA DE INTERÉS APLICABLE AL CRÉDITO Y REDUCIR LOS PORCENTAJES DEL FONDO  GENERAL DE PARTICIPACIONES (FGP) Y DEL FONDO DE FOMENTO MUNICIPAL (FFM) QUE SE ENCUENTRAN AFECTADOS COMO FUENTE DE PAGO DEL CRÉDITO</w:t>
      </w:r>
      <w:bookmarkEnd w:id="0"/>
      <w:r w:rsidR="008F2C69">
        <w:rPr>
          <w:rFonts w:ascii="Cambria" w:eastAsia="Calibri" w:hAnsi="Cambria" w:cs="Times New Roman"/>
          <w:b/>
          <w:lang w:val="es-ES"/>
        </w:rPr>
        <w:t>,</w:t>
      </w:r>
      <w:r w:rsidR="00957756" w:rsidRPr="00D77BD5">
        <w:rPr>
          <w:rFonts w:ascii="Cambria" w:eastAsia="Calibri" w:hAnsi="Cambria" w:cs="Arial"/>
          <w:b/>
        </w:rPr>
        <w:t xml:space="preserve"> </w:t>
      </w:r>
      <w:r w:rsidR="00973503" w:rsidRPr="00D77BD5">
        <w:rPr>
          <w:rFonts w:ascii="Cambria" w:eastAsia="Calibri" w:hAnsi="Cambria" w:cs="Times New Roman"/>
        </w:rPr>
        <w:t>que se fundamenta en la siguiente:</w:t>
      </w:r>
    </w:p>
    <w:p w:rsidR="001F5EAE" w:rsidRPr="00D77BD5" w:rsidRDefault="001F5EAE" w:rsidP="001F5EAE">
      <w:pPr>
        <w:spacing w:after="0"/>
        <w:jc w:val="both"/>
        <w:rPr>
          <w:rFonts w:ascii="Cambria" w:eastAsia="Calibri" w:hAnsi="Cambria" w:cs="Times New Roman"/>
          <w:b/>
        </w:rPr>
      </w:pPr>
    </w:p>
    <w:p w:rsidR="00973503" w:rsidRPr="00D77BD5" w:rsidRDefault="00973503" w:rsidP="001F5EAE">
      <w:pPr>
        <w:spacing w:after="0"/>
        <w:jc w:val="center"/>
        <w:rPr>
          <w:rFonts w:ascii="Cambria" w:eastAsia="Calibri" w:hAnsi="Cambria" w:cs="Times New Roman"/>
          <w:b/>
        </w:rPr>
      </w:pPr>
      <w:r w:rsidRPr="00D77BD5">
        <w:rPr>
          <w:rFonts w:ascii="Cambria" w:eastAsia="Calibri" w:hAnsi="Cambria" w:cs="Times New Roman"/>
          <w:b/>
        </w:rPr>
        <w:t>EXPOSICIÓN DE MOTIVOS</w:t>
      </w:r>
      <w:r w:rsidR="00957756" w:rsidRPr="00D77BD5">
        <w:rPr>
          <w:rFonts w:ascii="Cambria" w:eastAsia="Calibri" w:hAnsi="Cambria" w:cs="Times New Roman"/>
          <w:b/>
        </w:rPr>
        <w:t>:</w:t>
      </w:r>
    </w:p>
    <w:p w:rsidR="001F5EAE" w:rsidRPr="00D77BD5" w:rsidRDefault="001F5EAE" w:rsidP="001F5EAE">
      <w:pPr>
        <w:spacing w:after="0"/>
        <w:ind w:firstLine="708"/>
        <w:jc w:val="both"/>
        <w:rPr>
          <w:rFonts w:ascii="Cambria" w:eastAsia="Calibri" w:hAnsi="Cambria" w:cs="Times New Roman"/>
          <w:b/>
        </w:rPr>
      </w:pPr>
    </w:p>
    <w:p w:rsidR="00827C4B" w:rsidRPr="00D77BD5" w:rsidRDefault="00827C4B" w:rsidP="001F5EAE">
      <w:pPr>
        <w:spacing w:after="0"/>
        <w:ind w:firstLine="708"/>
        <w:jc w:val="both"/>
        <w:rPr>
          <w:rFonts w:ascii="Cambria" w:eastAsia="Calibri" w:hAnsi="Cambria" w:cs="Times New Roman"/>
        </w:rPr>
      </w:pPr>
      <w:r w:rsidRPr="00D77BD5">
        <w:rPr>
          <w:rFonts w:ascii="Cambria" w:eastAsia="Calibri" w:hAnsi="Cambria" w:cs="Times New Roman"/>
          <w:b/>
        </w:rPr>
        <w:t>I.</w:t>
      </w:r>
      <w:r w:rsidRPr="00D77BD5">
        <w:rPr>
          <w:rFonts w:ascii="Cambria" w:eastAsia="Calibri" w:hAnsi="Cambria" w:cs="Times New Roman"/>
        </w:rPr>
        <w:t xml:space="preserve">- </w:t>
      </w:r>
      <w:r w:rsidRPr="00D77BD5">
        <w:rPr>
          <w:rFonts w:ascii="Cambria" w:eastAsia="Calibri" w:hAnsi="Cambria" w:cs="Times New Roman"/>
          <w:lang w:val="es-ES_tradnl"/>
        </w:rPr>
        <w:t xml:space="preserve">El artículo 115 de la </w:t>
      </w:r>
      <w:r w:rsidR="0052772E" w:rsidRPr="00D77BD5">
        <w:rPr>
          <w:rFonts w:ascii="Cambria" w:eastAsia="Calibri" w:hAnsi="Cambria" w:cs="Times New Roman"/>
          <w:lang w:val="es-ES_tradnl"/>
        </w:rPr>
        <w:t>Constitución</w:t>
      </w:r>
      <w:r w:rsidRPr="00D77BD5">
        <w:rPr>
          <w:rFonts w:ascii="Cambria" w:eastAsia="Calibri" w:hAnsi="Cambria" w:cs="Times New Roman"/>
          <w:lang w:val="de-DE"/>
        </w:rPr>
        <w:t>n Pol</w:t>
      </w:r>
      <w:proofErr w:type="spellStart"/>
      <w:r w:rsidRPr="00D77BD5">
        <w:rPr>
          <w:rFonts w:ascii="Cambria" w:eastAsia="Calibri" w:hAnsi="Cambria" w:cs="Times New Roman"/>
          <w:lang w:val="es-ES_tradnl"/>
        </w:rPr>
        <w:t>ítica</w:t>
      </w:r>
      <w:proofErr w:type="spellEnd"/>
      <w:r w:rsidRPr="00D77BD5">
        <w:rPr>
          <w:rFonts w:ascii="Cambria" w:eastAsia="Calibri" w:hAnsi="Cambria" w:cs="Times New Roman"/>
          <w:lang w:val="es-ES_tradnl"/>
        </w:rPr>
        <w:t xml:space="preserve"> de los Estados Unidos Mexicanos, señala que es obligación de los Estados adoptar para su régimen interior, la forma de gobierno Republicano, Representativo, Popular, teniendo como base de su división territorial y de su </w:t>
      </w:r>
      <w:r w:rsidR="0052772E" w:rsidRPr="00D77BD5">
        <w:rPr>
          <w:rFonts w:ascii="Cambria" w:eastAsia="Calibri" w:hAnsi="Cambria" w:cs="Times New Roman"/>
          <w:lang w:val="es-ES_tradnl"/>
        </w:rPr>
        <w:t>organización</w:t>
      </w:r>
      <w:r w:rsidRPr="00D77BD5">
        <w:rPr>
          <w:rFonts w:ascii="Cambria" w:eastAsia="Calibri" w:hAnsi="Cambria" w:cs="Times New Roman"/>
        </w:rPr>
        <w:t xml:space="preserve">n </w:t>
      </w:r>
      <w:proofErr w:type="spellStart"/>
      <w:r w:rsidRPr="00D77BD5">
        <w:rPr>
          <w:rFonts w:ascii="Cambria" w:eastAsia="Calibri" w:hAnsi="Cambria" w:cs="Times New Roman"/>
        </w:rPr>
        <w:t>pol</w:t>
      </w:r>
      <w:r w:rsidRPr="00D77BD5">
        <w:rPr>
          <w:rFonts w:ascii="Cambria" w:eastAsia="Calibri" w:hAnsi="Cambria" w:cs="Times New Roman"/>
          <w:lang w:val="es-ES_tradnl"/>
        </w:rPr>
        <w:t>ítica</w:t>
      </w:r>
      <w:proofErr w:type="spellEnd"/>
      <w:r w:rsidRPr="00D77BD5">
        <w:rPr>
          <w:rFonts w:ascii="Cambria" w:eastAsia="Calibri" w:hAnsi="Cambria" w:cs="Times New Roman"/>
          <w:lang w:val="es-ES_tradnl"/>
        </w:rPr>
        <w:t xml:space="preserve"> y administrativa, el Municipio libre y autónomo gobernado por un Ayuntamiento de elección popular; </w:t>
      </w:r>
      <w:r w:rsidRPr="00D77BD5">
        <w:rPr>
          <w:rFonts w:ascii="Cambria" w:eastAsia="Calibri" w:hAnsi="Cambria" w:cs="Times New Roman"/>
        </w:rPr>
        <w:t xml:space="preserve">la Constitución Política del Estado de Jalisco en sus artículos 73, 77, 80 y 88 establece al municipio como la base de la organización política y administrativa del Estado de Jalisco, en el que se reconoce que esta investido de personalidad jurídica y patrimonios propios, lo que es reiterativo en la Ley del Gobierno y la Administración Pública del Estado de Jalisco. </w:t>
      </w:r>
    </w:p>
    <w:p w:rsidR="001F5EAE" w:rsidRPr="00D77BD5" w:rsidRDefault="001F5EAE" w:rsidP="001F5EAE">
      <w:pPr>
        <w:spacing w:after="0"/>
        <w:ind w:firstLine="708"/>
        <w:jc w:val="both"/>
        <w:rPr>
          <w:rStyle w:val="Ninguno"/>
          <w:rFonts w:ascii="Cambria" w:hAnsi="Cambria"/>
          <w:b/>
        </w:rPr>
      </w:pPr>
    </w:p>
    <w:p w:rsidR="001F5EAE" w:rsidRDefault="00F36AB3" w:rsidP="001F5EAE">
      <w:pPr>
        <w:spacing w:after="0"/>
        <w:ind w:firstLine="708"/>
        <w:jc w:val="both"/>
        <w:rPr>
          <w:rStyle w:val="Ninguno"/>
          <w:rFonts w:ascii="Cambria" w:hAnsi="Cambria"/>
          <w:lang w:val="es-ES_tradnl"/>
        </w:rPr>
      </w:pPr>
      <w:r w:rsidRPr="00D77BD5">
        <w:rPr>
          <w:rStyle w:val="Ninguno"/>
          <w:rFonts w:ascii="Cambria" w:hAnsi="Cambria"/>
          <w:b/>
        </w:rPr>
        <w:t>II.</w:t>
      </w:r>
      <w:r w:rsidRPr="00D77BD5">
        <w:rPr>
          <w:rStyle w:val="Ninguno"/>
          <w:rFonts w:ascii="Cambria" w:hAnsi="Cambria"/>
        </w:rPr>
        <w:t xml:space="preserve">- </w:t>
      </w:r>
      <w:r w:rsidR="00827C4B" w:rsidRPr="00D77BD5">
        <w:rPr>
          <w:rStyle w:val="Ninguno"/>
          <w:rFonts w:ascii="Cambria" w:hAnsi="Cambria"/>
          <w:lang w:val="ru-RU"/>
        </w:rPr>
        <w:t>As</w:t>
      </w:r>
      <w:proofErr w:type="spellStart"/>
      <w:r w:rsidR="00827C4B" w:rsidRPr="00D77BD5">
        <w:rPr>
          <w:rStyle w:val="Ninguno"/>
          <w:rFonts w:ascii="Cambria" w:hAnsi="Cambria"/>
          <w:lang w:val="es-ES_tradnl"/>
        </w:rPr>
        <w:t>í</w:t>
      </w:r>
      <w:proofErr w:type="spellEnd"/>
      <w:r w:rsidR="00827C4B" w:rsidRPr="00D77BD5">
        <w:rPr>
          <w:rStyle w:val="Ninguno"/>
          <w:rFonts w:ascii="Cambria" w:hAnsi="Cambria"/>
          <w:lang w:val="es-ES_tradnl"/>
        </w:rPr>
        <w:t xml:space="preserve"> mismo el Artículo 115, fracciones II y IV de la Constitución Política de los Estados Unidos Mexicanos; los artículos 88 y 89 de la Constitución Política del Estado de Jalisco, así </w:t>
      </w:r>
      <w:r w:rsidR="00827C4B" w:rsidRPr="00D77BD5">
        <w:rPr>
          <w:rStyle w:val="Ninguno"/>
          <w:rFonts w:ascii="Cambria" w:hAnsi="Cambria"/>
          <w:lang w:val="es-ES_tradnl"/>
        </w:rPr>
        <w:lastRenderedPageBreak/>
        <w:t>como los Artículos 37, fracción IV, 82 y 84 de la Ley de Gobierno y Administración Pública Municipal, señala que el municipio estará investido de personalidad Jurídica y manejará s</w:t>
      </w:r>
      <w:r w:rsidR="00250171">
        <w:rPr>
          <w:rStyle w:val="Ninguno"/>
          <w:rFonts w:ascii="Cambria" w:hAnsi="Cambria"/>
          <w:lang w:val="es-ES_tradnl"/>
        </w:rPr>
        <w:t xml:space="preserve">u patrimonio conforme a la ley. </w:t>
      </w:r>
    </w:p>
    <w:p w:rsidR="00250171" w:rsidRPr="00D77BD5" w:rsidRDefault="00250171" w:rsidP="001F5EAE">
      <w:pPr>
        <w:spacing w:after="0"/>
        <w:ind w:firstLine="708"/>
        <w:jc w:val="both"/>
        <w:rPr>
          <w:rFonts w:ascii="Cambria" w:eastAsia="Calibri" w:hAnsi="Cambria" w:cs="Times New Roman"/>
          <w:b/>
        </w:rPr>
      </w:pPr>
    </w:p>
    <w:p w:rsidR="00697CA0" w:rsidRPr="00D77BD5" w:rsidRDefault="00F36AB3" w:rsidP="001F5EAE">
      <w:pPr>
        <w:spacing w:after="0"/>
        <w:ind w:firstLine="708"/>
        <w:jc w:val="both"/>
        <w:rPr>
          <w:rFonts w:ascii="Cambria" w:eastAsia="Calibri" w:hAnsi="Cambria" w:cs="Times New Roman"/>
        </w:rPr>
      </w:pPr>
      <w:r w:rsidRPr="00D77BD5">
        <w:rPr>
          <w:rFonts w:ascii="Cambria" w:eastAsia="Calibri" w:hAnsi="Cambria" w:cs="Times New Roman"/>
          <w:b/>
        </w:rPr>
        <w:t>III</w:t>
      </w:r>
      <w:r w:rsidR="00697CA0" w:rsidRPr="00D77BD5">
        <w:rPr>
          <w:rFonts w:ascii="Cambria" w:eastAsia="Calibri" w:hAnsi="Cambria" w:cs="Times New Roman"/>
          <w:b/>
        </w:rPr>
        <w:t>.-</w:t>
      </w:r>
      <w:r w:rsidR="00697CA0" w:rsidRPr="00D77BD5">
        <w:rPr>
          <w:rFonts w:ascii="Cambria" w:eastAsia="Calibri" w:hAnsi="Cambria" w:cs="Times New Roman"/>
        </w:rPr>
        <w:t xml:space="preserve"> </w:t>
      </w:r>
      <w:r w:rsidR="00EA7D69" w:rsidRPr="00D77BD5">
        <w:rPr>
          <w:rFonts w:ascii="Cambria" w:eastAsia="Calibri" w:hAnsi="Cambria" w:cs="Times New Roman"/>
        </w:rPr>
        <w:t>Por medio de Sesión Publica Extraordinaria de Ayuntamiento número 37, celebrada el 5 de diciembre del 2019, en el tercero punto del orden del día</w:t>
      </w:r>
      <w:r w:rsidR="002B648C">
        <w:rPr>
          <w:rFonts w:ascii="Cambria" w:eastAsia="Calibri" w:hAnsi="Cambria" w:cs="Times New Roman"/>
        </w:rPr>
        <w:t>,</w:t>
      </w:r>
      <w:r w:rsidR="00EA7D69" w:rsidRPr="00D77BD5">
        <w:rPr>
          <w:rFonts w:ascii="Cambria" w:eastAsia="Calibri" w:hAnsi="Cambria" w:cs="Times New Roman"/>
        </w:rPr>
        <w:t xml:space="preserve"> se a</w:t>
      </w:r>
      <w:r w:rsidR="00ED710F">
        <w:rPr>
          <w:rFonts w:ascii="Cambria" w:eastAsia="Calibri" w:hAnsi="Cambria" w:cs="Times New Roman"/>
        </w:rPr>
        <w:t>probó por mayoría calificada la</w:t>
      </w:r>
      <w:r w:rsidR="00EA7D69" w:rsidRPr="00D77BD5">
        <w:rPr>
          <w:rFonts w:ascii="Cambria" w:eastAsia="Calibri" w:hAnsi="Cambria" w:cs="Times New Roman"/>
        </w:rPr>
        <w:t xml:space="preserve"> </w:t>
      </w:r>
      <w:r w:rsidR="00ED710F">
        <w:rPr>
          <w:rFonts w:ascii="Cambria" w:eastAsia="Calibri" w:hAnsi="Cambria" w:cs="Times New Roman"/>
        </w:rPr>
        <w:t>c</w:t>
      </w:r>
      <w:r w:rsidR="00950BCE" w:rsidRPr="00D77BD5">
        <w:rPr>
          <w:rFonts w:ascii="Cambria" w:eastAsia="Calibri" w:hAnsi="Cambria" w:cs="Times New Roman"/>
        </w:rPr>
        <w:t xml:space="preserve">ontratación </w:t>
      </w:r>
      <w:r w:rsidR="00950BCE" w:rsidRPr="00063F8A">
        <w:rPr>
          <w:rFonts w:ascii="Cambria" w:eastAsia="Calibri" w:hAnsi="Cambria" w:cs="Times New Roman"/>
        </w:rPr>
        <w:t xml:space="preserve">de </w:t>
      </w:r>
      <w:r w:rsidR="00442BA3" w:rsidRPr="00063F8A">
        <w:rPr>
          <w:rFonts w:ascii="Cambria" w:eastAsia="Calibri" w:hAnsi="Cambria" w:cs="Times New Roman"/>
        </w:rPr>
        <w:t xml:space="preserve">empréstito </w:t>
      </w:r>
      <w:r w:rsidR="00950BCE" w:rsidRPr="00063F8A">
        <w:rPr>
          <w:rFonts w:ascii="Cambria" w:eastAsia="Calibri" w:hAnsi="Cambria" w:cs="Times New Roman"/>
        </w:rPr>
        <w:t>dentro de</w:t>
      </w:r>
      <w:r w:rsidR="00ED710F">
        <w:rPr>
          <w:rFonts w:ascii="Cambria" w:eastAsia="Calibri" w:hAnsi="Cambria" w:cs="Times New Roman"/>
        </w:rPr>
        <w:t xml:space="preserve"> la Línea de C</w:t>
      </w:r>
      <w:r w:rsidR="00950BCE" w:rsidRPr="00D77BD5">
        <w:rPr>
          <w:rFonts w:ascii="Cambria" w:eastAsia="Calibri" w:hAnsi="Cambria" w:cs="Times New Roman"/>
        </w:rPr>
        <w:t xml:space="preserve">rédito Global tramitada por el Gobierno del Estado de Jalisco con el Banco Nacional de Obras y Servicios Públicos (BANOBRAS), previsto por el Título Décimo de la Ley de Ingresos del Estado de Jalisco para ejercicio </w:t>
      </w:r>
      <w:r w:rsidR="00950BCE" w:rsidRPr="00063F8A">
        <w:rPr>
          <w:rFonts w:ascii="Cambria" w:eastAsia="Calibri" w:hAnsi="Cambria" w:cs="Times New Roman"/>
        </w:rPr>
        <w:t>Fiscal 2019</w:t>
      </w:r>
      <w:r w:rsidR="00C231B9" w:rsidRPr="00063F8A">
        <w:rPr>
          <w:rFonts w:ascii="Cambria" w:eastAsia="Calibri" w:hAnsi="Cambria" w:cs="Times New Roman"/>
        </w:rPr>
        <w:t xml:space="preserve">, por la cantidad de hasta </w:t>
      </w:r>
      <w:r w:rsidR="00950BCE" w:rsidRPr="00063F8A">
        <w:rPr>
          <w:rFonts w:ascii="Cambria" w:eastAsia="Calibri" w:hAnsi="Cambria" w:cs="Times New Roman"/>
        </w:rPr>
        <w:t xml:space="preserve"> </w:t>
      </w:r>
      <w:r w:rsidR="00C231B9" w:rsidRPr="00063F8A">
        <w:rPr>
          <w:rFonts w:ascii="Cambria" w:eastAsia="Calibri" w:hAnsi="Cambria" w:cs="Times New Roman"/>
          <w:b/>
        </w:rPr>
        <w:t xml:space="preserve">$49’324,768.02 (Cuarenta y nueve millones trescientos veinticuatro mil setecientos sesenta y ocho pesos 02/100 M.N.), </w:t>
      </w:r>
      <w:r w:rsidR="00C231B9" w:rsidRPr="00063F8A">
        <w:rPr>
          <w:rFonts w:ascii="Cambria" w:eastAsia="Calibri" w:hAnsi="Cambria" w:cs="Times New Roman"/>
        </w:rPr>
        <w:t>destinado para la</w:t>
      </w:r>
      <w:r w:rsidR="00C231B9" w:rsidRPr="00063F8A">
        <w:rPr>
          <w:rFonts w:ascii="Cambria" w:eastAsia="Calibri" w:hAnsi="Cambria" w:cs="Times New Roman"/>
          <w:iCs/>
        </w:rPr>
        <w:t xml:space="preserve"> adquisición, reconstrucción, mantenimiento y ejecución de diversas obras públicas, </w:t>
      </w:r>
      <w:r w:rsidR="0090270F" w:rsidRPr="00063F8A">
        <w:t>con una Tasa de Interés Interbancaria de Equilibrio</w:t>
      </w:r>
      <w:r w:rsidR="00B35CCD" w:rsidRPr="00063F8A">
        <w:t xml:space="preserve"> (TIIE)</w:t>
      </w:r>
      <w:r w:rsidR="0090270F" w:rsidRPr="00063F8A">
        <w:t>, más una sobre tasa de 1.55 puntos porcentuales</w:t>
      </w:r>
      <w:r w:rsidR="00063F8A" w:rsidRPr="00063F8A">
        <w:t>.</w:t>
      </w:r>
    </w:p>
    <w:p w:rsidR="001F5EAE" w:rsidRPr="008F2C69" w:rsidRDefault="001F5EAE" w:rsidP="001F5EAE">
      <w:pPr>
        <w:spacing w:after="0"/>
        <w:ind w:firstLine="708"/>
        <w:jc w:val="both"/>
        <w:rPr>
          <w:rFonts w:ascii="Cambria" w:eastAsia="Calibri" w:hAnsi="Cambria" w:cs="Times New Roman"/>
          <w:b/>
        </w:rPr>
      </w:pPr>
    </w:p>
    <w:p w:rsidR="002B648C" w:rsidRDefault="00F36AB3" w:rsidP="001F5EAE">
      <w:pPr>
        <w:spacing w:after="0"/>
        <w:ind w:firstLine="708"/>
        <w:jc w:val="both"/>
        <w:rPr>
          <w:rFonts w:ascii="Cambria" w:hAnsi="Cambria" w:cs="Calibri"/>
        </w:rPr>
      </w:pPr>
      <w:r w:rsidRPr="002B648C">
        <w:rPr>
          <w:rFonts w:ascii="Cambria" w:eastAsia="Calibri" w:hAnsi="Cambria" w:cs="Times New Roman"/>
          <w:b/>
        </w:rPr>
        <w:t>IV</w:t>
      </w:r>
      <w:r w:rsidR="00697CA0" w:rsidRPr="002B648C">
        <w:rPr>
          <w:rFonts w:ascii="Cambria" w:eastAsia="Calibri" w:hAnsi="Cambria" w:cs="Times New Roman"/>
          <w:b/>
        </w:rPr>
        <w:t>.</w:t>
      </w:r>
      <w:r w:rsidR="00697CA0" w:rsidRPr="002B648C">
        <w:rPr>
          <w:rFonts w:ascii="Cambria" w:eastAsia="Calibri" w:hAnsi="Cambria" w:cs="Times New Roman"/>
        </w:rPr>
        <w:t xml:space="preserve"> </w:t>
      </w:r>
      <w:r w:rsidR="003C3AF4" w:rsidRPr="002B648C">
        <w:rPr>
          <w:rFonts w:ascii="Cambria" w:eastAsia="Calibri" w:hAnsi="Cambria" w:cs="Times New Roman"/>
        </w:rPr>
        <w:t xml:space="preserve">Derivado de lo anterior, el </w:t>
      </w:r>
      <w:r w:rsidR="008F2C69" w:rsidRPr="002B648C">
        <w:rPr>
          <w:rFonts w:ascii="Cambria" w:hAnsi="Cambria" w:cs="Calibri"/>
          <w:b/>
          <w:noProof/>
          <w:spacing w:val="-1"/>
        </w:rPr>
        <w:t>27 de diciembre de 2019</w:t>
      </w:r>
      <w:r w:rsidR="008F2C69" w:rsidRPr="002B648C">
        <w:rPr>
          <w:rFonts w:ascii="Cambria" w:hAnsi="Cambria" w:cs="Calibri"/>
          <w:spacing w:val="-1"/>
        </w:rPr>
        <w:t xml:space="preserve"> </w:t>
      </w:r>
      <w:r w:rsidR="003C3AF4" w:rsidRPr="002B648C">
        <w:rPr>
          <w:rFonts w:ascii="Cambria" w:eastAsia="Calibri" w:hAnsi="Cambria" w:cs="Times New Roman"/>
        </w:rPr>
        <w:t xml:space="preserve">se celebró con BANOBRAS un Contrato de Apertura de Crédito Simple por la cantidad de </w:t>
      </w:r>
      <w:r w:rsidR="001C49F9" w:rsidRPr="002B648C">
        <w:rPr>
          <w:rFonts w:ascii="Cambria" w:eastAsia="Calibri" w:hAnsi="Cambria" w:cs="Times New Roman"/>
          <w:b/>
        </w:rPr>
        <w:t>$</w:t>
      </w:r>
      <w:r w:rsidR="00933675" w:rsidRPr="002B648C">
        <w:rPr>
          <w:rFonts w:ascii="Cambria" w:eastAsia="Calibri" w:hAnsi="Cambria" w:cs="Times New Roman"/>
          <w:b/>
        </w:rPr>
        <w:t>49’324,768.02 (Cuarenta y nueve millones trescientos veinticuatro mil setecientos sesenta y ocho pesos 02/100 M.N.),</w:t>
      </w:r>
      <w:r w:rsidR="003C3AF4" w:rsidRPr="002B648C">
        <w:rPr>
          <w:rFonts w:ascii="Cambria" w:eastAsia="Calibri" w:hAnsi="Cambria" w:cs="Times New Roman"/>
        </w:rPr>
        <w:t xml:space="preserve"> </w:t>
      </w:r>
      <w:r w:rsidR="002B648C" w:rsidRPr="002B648C">
        <w:rPr>
          <w:rFonts w:ascii="Cambria" w:hAnsi="Cambria" w:cs="Calibri"/>
        </w:rPr>
        <w:t xml:space="preserve">y se afectó como fuente de pago del crédito el </w:t>
      </w:r>
      <w:r w:rsidR="002B648C" w:rsidRPr="009B103B">
        <w:rPr>
          <w:rFonts w:ascii="Cambria" w:hAnsi="Cambria" w:cs="Calibri"/>
          <w:b/>
        </w:rPr>
        <w:t>9.30</w:t>
      </w:r>
      <w:r w:rsidR="00ED710F">
        <w:rPr>
          <w:rFonts w:ascii="Cambria" w:hAnsi="Cambria" w:cs="Calibri"/>
          <w:b/>
        </w:rPr>
        <w:t>%</w:t>
      </w:r>
      <w:r w:rsidR="002B648C" w:rsidRPr="002B648C">
        <w:rPr>
          <w:rFonts w:ascii="Cambria" w:hAnsi="Cambria" w:cs="Calibri"/>
          <w:b/>
        </w:rPr>
        <w:t xml:space="preserve"> </w:t>
      </w:r>
      <w:r w:rsidR="002B648C" w:rsidRPr="00ED710F">
        <w:rPr>
          <w:rFonts w:ascii="Cambria" w:hAnsi="Cambria" w:cs="Calibri"/>
        </w:rPr>
        <w:t>(nueve punto treinta</w:t>
      </w:r>
      <w:r w:rsidR="002B648C" w:rsidRPr="00ED710F">
        <w:rPr>
          <w:rFonts w:ascii="Cambria" w:hAnsi="Cambria" w:cs="Arial"/>
          <w:sz w:val="20"/>
          <w:szCs w:val="20"/>
        </w:rPr>
        <w:t xml:space="preserve"> </w:t>
      </w:r>
      <w:r w:rsidR="002B648C" w:rsidRPr="00ED710F">
        <w:rPr>
          <w:rFonts w:ascii="Cambria" w:hAnsi="Cambria" w:cs="Calibri"/>
        </w:rPr>
        <w:t>por ciento)</w:t>
      </w:r>
      <w:r w:rsidR="002B648C" w:rsidRPr="002B648C">
        <w:rPr>
          <w:rFonts w:ascii="Cambria" w:hAnsi="Cambria" w:cs="Calibri"/>
        </w:rPr>
        <w:t xml:space="preserve"> de los derechos e ingresos provenientes de las participaciones que en ingresos federales le corresponden al municipio del Fondo General de Participaciones y del Fondo de Fomento Municipal. Dicho contrato fue inscrito en el Registro Estatal de Obligaciones de los Entes Públicos del Estado de Jalisco y sus Municipios y en el Registro Público Único de Financiamientos y Obligaciones de Entidades Federativas y Municipios que lleva la Unidad de Coordinación con Entidades Federativas de la Secretaría de Hacienda y Crédito Público, con los números de registro </w:t>
      </w:r>
      <w:r w:rsidR="002B648C" w:rsidRPr="002B648C">
        <w:rPr>
          <w:rFonts w:ascii="Cambria" w:hAnsi="Cambria" w:cs="Calibri"/>
          <w:b/>
        </w:rPr>
        <w:t xml:space="preserve">001/2020 de fecha 13 de enero del 2020 </w:t>
      </w:r>
      <w:r w:rsidR="002B648C" w:rsidRPr="002B648C">
        <w:rPr>
          <w:rFonts w:ascii="Cambria" w:hAnsi="Cambria" w:cs="Calibri"/>
        </w:rPr>
        <w:t xml:space="preserve">y </w:t>
      </w:r>
      <w:r w:rsidR="002B648C" w:rsidRPr="002B648C">
        <w:rPr>
          <w:rFonts w:ascii="Cambria" w:hAnsi="Cambria" w:cs="Calibri"/>
          <w:b/>
        </w:rPr>
        <w:t xml:space="preserve"> P14-0220019</w:t>
      </w:r>
      <w:r w:rsidR="009B103B">
        <w:rPr>
          <w:rFonts w:ascii="Cambria" w:hAnsi="Cambria" w:cs="Calibri"/>
          <w:b/>
        </w:rPr>
        <w:t xml:space="preserve"> de fecha 14 de febrero de 2020</w:t>
      </w:r>
      <w:r w:rsidR="002B648C" w:rsidRPr="002B648C">
        <w:rPr>
          <w:rFonts w:ascii="Cambria" w:hAnsi="Cambria" w:cs="Calibri"/>
          <w:b/>
        </w:rPr>
        <w:t xml:space="preserve">, </w:t>
      </w:r>
      <w:r w:rsidR="002B648C" w:rsidRPr="002B648C">
        <w:rPr>
          <w:rFonts w:ascii="Cambria" w:hAnsi="Cambria" w:cs="Calibri"/>
        </w:rPr>
        <w:t>respectivamente.</w:t>
      </w:r>
    </w:p>
    <w:p w:rsidR="00A87B72" w:rsidRPr="002B648C" w:rsidRDefault="00A87B72" w:rsidP="001F5EAE">
      <w:pPr>
        <w:spacing w:after="0"/>
        <w:ind w:firstLine="708"/>
        <w:jc w:val="both"/>
        <w:rPr>
          <w:rFonts w:ascii="Cambria" w:eastAsia="Calibri" w:hAnsi="Cambria" w:cs="Times New Roman"/>
        </w:rPr>
      </w:pPr>
    </w:p>
    <w:p w:rsidR="00A87B72" w:rsidRDefault="00A87B72" w:rsidP="00A87B72">
      <w:pPr>
        <w:spacing w:after="0"/>
        <w:ind w:firstLine="708"/>
        <w:jc w:val="both"/>
        <w:rPr>
          <w:rFonts w:ascii="Cambria" w:hAnsi="Cambria" w:cstheme="majorHAnsi"/>
          <w:bCs/>
        </w:rPr>
      </w:pPr>
      <w:r w:rsidRPr="002B648C">
        <w:rPr>
          <w:rFonts w:ascii="Cambria" w:eastAsia="Calibri" w:hAnsi="Cambria" w:cs="Times New Roman"/>
          <w:b/>
        </w:rPr>
        <w:t>V</w:t>
      </w:r>
      <w:r>
        <w:rPr>
          <w:rFonts w:ascii="Cambria" w:eastAsia="Calibri" w:hAnsi="Cambria" w:cs="Times New Roman"/>
        </w:rPr>
        <w:t xml:space="preserve">.- </w:t>
      </w:r>
      <w:r w:rsidRPr="002B648C">
        <w:rPr>
          <w:rFonts w:ascii="Cambria" w:hAnsi="Cambria" w:cs="Calibri"/>
        </w:rPr>
        <w:t xml:space="preserve">Con la finalidad de </w:t>
      </w:r>
      <w:r w:rsidRPr="00063F8A">
        <w:rPr>
          <w:rFonts w:ascii="Cambria" w:hAnsi="Cambria" w:cs="Calibri"/>
        </w:rPr>
        <w:t>mejorar el margen y solidez financiera</w:t>
      </w:r>
      <w:r w:rsidR="00E9166D" w:rsidRPr="00063F8A">
        <w:rPr>
          <w:rFonts w:ascii="Cambria" w:hAnsi="Cambria" w:cs="Calibri"/>
        </w:rPr>
        <w:t xml:space="preserve"> al</w:t>
      </w:r>
      <w:r w:rsidRPr="00063F8A">
        <w:rPr>
          <w:rFonts w:ascii="Cambria" w:hAnsi="Cambria" w:cs="Calibri"/>
        </w:rPr>
        <w:t xml:space="preserve"> libera</w:t>
      </w:r>
      <w:r w:rsidR="00063F8A" w:rsidRPr="00063F8A">
        <w:rPr>
          <w:rFonts w:ascii="Cambria" w:hAnsi="Cambria" w:cs="Calibri"/>
        </w:rPr>
        <w:t>r</w:t>
      </w:r>
      <w:r w:rsidRPr="00063F8A">
        <w:rPr>
          <w:rFonts w:ascii="Cambria" w:hAnsi="Cambria" w:cs="Calibri"/>
        </w:rPr>
        <w:t xml:space="preserve"> flujo de efectivo, se considera conveniente solicitar a BANOBRAS la reestructura del crédito referido en términos de lo establecido en el </w:t>
      </w:r>
      <w:r w:rsidR="00E9166D" w:rsidRPr="00063F8A">
        <w:rPr>
          <w:rFonts w:ascii="Cambria" w:hAnsi="Cambria" w:cs="Calibri"/>
        </w:rPr>
        <w:t xml:space="preserve">artículo </w:t>
      </w:r>
      <w:r w:rsidRPr="00063F8A">
        <w:rPr>
          <w:rFonts w:ascii="Cambria" w:hAnsi="Cambria" w:cstheme="majorHAnsi"/>
        </w:rPr>
        <w:t>24, fracciones</w:t>
      </w:r>
      <w:r w:rsidRPr="002B648C">
        <w:rPr>
          <w:rFonts w:ascii="Cambria" w:hAnsi="Cambria" w:cstheme="majorHAnsi"/>
        </w:rPr>
        <w:t xml:space="preserve"> V y VI, de la </w:t>
      </w:r>
      <w:r w:rsidRPr="002B648C">
        <w:rPr>
          <w:rFonts w:ascii="Cambria" w:hAnsi="Cambria" w:cstheme="majorHAnsi"/>
          <w:bCs/>
        </w:rPr>
        <w:t xml:space="preserve">Ley de Deuda Pública y Disciplina Financiera del Estado de Jalisco y sus </w:t>
      </w:r>
      <w:r w:rsidRPr="00063F8A">
        <w:rPr>
          <w:rFonts w:ascii="Cambria" w:hAnsi="Cambria" w:cstheme="majorHAnsi"/>
          <w:bCs/>
        </w:rPr>
        <w:t>Municipios</w:t>
      </w:r>
      <w:r w:rsidR="00063F8A" w:rsidRPr="00063F8A">
        <w:rPr>
          <w:rFonts w:ascii="Cambria" w:hAnsi="Cambria" w:cstheme="majorHAnsi"/>
          <w:bCs/>
        </w:rPr>
        <w:t>,</w:t>
      </w:r>
      <w:r w:rsidR="003F698A" w:rsidRPr="00063F8A">
        <w:rPr>
          <w:rFonts w:ascii="Cambria" w:hAnsi="Cambria" w:cstheme="majorHAnsi"/>
          <w:bCs/>
        </w:rPr>
        <w:t xml:space="preserve"> y </w:t>
      </w:r>
      <w:r w:rsidR="003F698A" w:rsidRPr="00063F8A">
        <w:rPr>
          <w:rFonts w:ascii="Cambria" w:eastAsia="Calibri" w:hAnsi="Cambria" w:cs="Times New Roman"/>
        </w:rPr>
        <w:t>dentro de la Línea de crédito Global tramitada por el Gobierno del Estado de Jalisco con el Banco Nacional de Obras y Servicios Públicos (BANOBRAS), debido a que el crédito a reestructurar fue gestionado y autorizado al amparo de dicho instrumento financiero</w:t>
      </w:r>
      <w:r w:rsidRPr="00063F8A">
        <w:rPr>
          <w:rFonts w:ascii="Cambria" w:hAnsi="Cambria" w:cstheme="majorHAnsi"/>
          <w:bCs/>
        </w:rPr>
        <w:t>.</w:t>
      </w:r>
    </w:p>
    <w:p w:rsidR="001F5EAE" w:rsidRDefault="001F5EAE" w:rsidP="001F5EAE">
      <w:pPr>
        <w:spacing w:after="0"/>
        <w:ind w:firstLine="708"/>
        <w:jc w:val="both"/>
        <w:rPr>
          <w:rFonts w:ascii="Cambria" w:eastAsia="Calibri" w:hAnsi="Cambria" w:cs="Times New Roman"/>
          <w:b/>
        </w:rPr>
      </w:pPr>
    </w:p>
    <w:p w:rsidR="003C3AF4" w:rsidRPr="00F36AB3" w:rsidRDefault="00A87B72" w:rsidP="001F5EAE">
      <w:pPr>
        <w:spacing w:after="0"/>
        <w:ind w:firstLine="708"/>
        <w:jc w:val="both"/>
        <w:rPr>
          <w:rFonts w:ascii="Cambria" w:eastAsia="Calibri" w:hAnsi="Cambria" w:cs="Times New Roman"/>
          <w:bCs/>
          <w:lang w:val="es-ES"/>
        </w:rPr>
      </w:pPr>
      <w:r w:rsidRPr="00063F8A">
        <w:rPr>
          <w:rFonts w:ascii="Cambria" w:eastAsia="Calibri" w:hAnsi="Cambria" w:cs="Times New Roman"/>
          <w:b/>
          <w:lang w:val="es-ES"/>
        </w:rPr>
        <w:t>V</w:t>
      </w:r>
      <w:r w:rsidR="00F36AB3" w:rsidRPr="00063F8A">
        <w:rPr>
          <w:rFonts w:ascii="Cambria" w:eastAsia="Calibri" w:hAnsi="Cambria" w:cs="Times New Roman"/>
          <w:b/>
          <w:lang w:val="es-ES"/>
        </w:rPr>
        <w:t>I</w:t>
      </w:r>
      <w:r w:rsidR="003C3AF4" w:rsidRPr="00063F8A">
        <w:rPr>
          <w:rFonts w:ascii="Cambria" w:eastAsia="Calibri" w:hAnsi="Cambria" w:cs="Times New Roman"/>
          <w:b/>
          <w:lang w:val="es-ES"/>
        </w:rPr>
        <w:t>.</w:t>
      </w:r>
      <w:r w:rsidR="003C3AF4" w:rsidRPr="00063F8A">
        <w:rPr>
          <w:rFonts w:ascii="Cambria" w:eastAsia="Calibri" w:hAnsi="Cambria" w:cs="Times New Roman"/>
          <w:lang w:val="es-ES"/>
        </w:rPr>
        <w:t xml:space="preserve"> Las</w:t>
      </w:r>
      <w:r w:rsidR="003C3AF4" w:rsidRPr="00F36AB3">
        <w:rPr>
          <w:rFonts w:ascii="Cambria" w:eastAsia="Calibri" w:hAnsi="Cambria" w:cs="Times New Roman"/>
          <w:lang w:val="es-ES"/>
        </w:rPr>
        <w:t xml:space="preserve"> fracciones V y VI del artículo 24 de la </w:t>
      </w:r>
      <w:r w:rsidR="003C3AF4" w:rsidRPr="00F36AB3">
        <w:rPr>
          <w:rFonts w:ascii="Cambria" w:eastAsia="Calibri" w:hAnsi="Cambria" w:cs="Times New Roman"/>
          <w:bCs/>
          <w:lang w:val="es-ES"/>
        </w:rPr>
        <w:t>Ley de Deuda Pública y Disciplina Financiera del Estado de Jalisco y sus Municipios establecen que son atribuciones del Ayuntamiento:</w:t>
      </w:r>
    </w:p>
    <w:p w:rsidR="003C3AF4" w:rsidRPr="00F4025F" w:rsidRDefault="003C3AF4" w:rsidP="001F5EAE">
      <w:pPr>
        <w:spacing w:after="0"/>
        <w:ind w:left="708"/>
        <w:jc w:val="both"/>
        <w:rPr>
          <w:rFonts w:ascii="Cambria" w:eastAsia="Calibri" w:hAnsi="Cambria" w:cs="Times New Roman"/>
          <w:i/>
          <w:sz w:val="20"/>
          <w:lang w:val="es-ES"/>
        </w:rPr>
      </w:pPr>
      <w:r w:rsidRPr="00F4025F">
        <w:rPr>
          <w:rFonts w:ascii="Cambria" w:eastAsia="Calibri" w:hAnsi="Cambria" w:cs="Times New Roman"/>
          <w:i/>
          <w:sz w:val="20"/>
          <w:lang w:val="es-ES"/>
        </w:rPr>
        <w:t>“…</w:t>
      </w:r>
    </w:p>
    <w:p w:rsidR="003C3AF4" w:rsidRPr="00F4025F" w:rsidRDefault="003C3AF4" w:rsidP="001F5EAE">
      <w:pPr>
        <w:spacing w:after="0"/>
        <w:ind w:left="708"/>
        <w:jc w:val="both"/>
        <w:rPr>
          <w:rFonts w:ascii="Cambria" w:eastAsia="Calibri" w:hAnsi="Cambria" w:cs="Times New Roman"/>
          <w:i/>
          <w:sz w:val="20"/>
          <w:lang w:val="es-ES"/>
        </w:rPr>
      </w:pPr>
      <w:r w:rsidRPr="00F4025F">
        <w:rPr>
          <w:rFonts w:ascii="Cambria" w:eastAsia="Calibri" w:hAnsi="Cambria" w:cs="Times New Roman"/>
          <w:i/>
          <w:sz w:val="20"/>
          <w:lang w:val="es-ES"/>
        </w:rPr>
        <w:lastRenderedPageBreak/>
        <w:t>V. Aprobar la reestructuración, refinanciamiento, adecuación, modificación o sustitución de los financiamientos previamente adquiridos por el municipio o los demás Entes Públicos Municipales notificando a la Auditoría Superior del Estado tales acciones, con la justificación jurídica y financiera que avale la decisión, al rendir la cuenta pública…</w:t>
      </w:r>
    </w:p>
    <w:p w:rsidR="003C3AF4" w:rsidRPr="00F4025F" w:rsidRDefault="003C3AF4" w:rsidP="001F5EAE">
      <w:pPr>
        <w:spacing w:after="0"/>
        <w:ind w:firstLine="708"/>
        <w:jc w:val="both"/>
        <w:rPr>
          <w:rFonts w:ascii="Cambria" w:eastAsia="Calibri" w:hAnsi="Cambria" w:cs="Times New Roman"/>
          <w:i/>
          <w:sz w:val="20"/>
          <w:lang w:val="es-ES"/>
        </w:rPr>
      </w:pPr>
    </w:p>
    <w:p w:rsidR="003C3AF4" w:rsidRPr="00F4025F" w:rsidRDefault="003C3AF4" w:rsidP="001F5EAE">
      <w:pPr>
        <w:spacing w:after="0"/>
        <w:ind w:left="708"/>
        <w:jc w:val="both"/>
        <w:rPr>
          <w:rFonts w:ascii="Cambria" w:eastAsia="Calibri" w:hAnsi="Cambria" w:cs="Times New Roman"/>
          <w:i/>
          <w:sz w:val="20"/>
          <w:lang w:val="es-ES"/>
        </w:rPr>
      </w:pPr>
      <w:r w:rsidRPr="00F4025F">
        <w:rPr>
          <w:rFonts w:ascii="Cambria" w:eastAsia="Calibri" w:hAnsi="Cambria" w:cs="Times New Roman"/>
          <w:i/>
          <w:sz w:val="20"/>
          <w:lang w:val="es-ES"/>
        </w:rPr>
        <w:t>VI. Autorizar la adhesión del Municipio a los esquemas globales de financiamiento estructurados y/o gestionados por el Gobierno del Estado y previamente autorizados por el Congreso del Estado, otorgando como garantía y/o fuente de pago los derechos y/o las cantidades que les correspondan de manera individual por concepto de aportaciones o participaciones en ingresos federales y7o estatales o ingresos propios, susceptibles de afectación;</w:t>
      </w:r>
    </w:p>
    <w:p w:rsidR="003C3AF4" w:rsidRPr="00F4025F" w:rsidRDefault="003C3AF4" w:rsidP="001F5EAE">
      <w:pPr>
        <w:spacing w:after="0"/>
        <w:ind w:left="708" w:firstLine="708"/>
        <w:jc w:val="both"/>
        <w:rPr>
          <w:rFonts w:ascii="Cambria" w:eastAsia="Calibri" w:hAnsi="Cambria" w:cs="Times New Roman"/>
          <w:sz w:val="20"/>
          <w:lang w:val="es-ES"/>
        </w:rPr>
      </w:pPr>
      <w:r w:rsidRPr="00F4025F">
        <w:rPr>
          <w:rFonts w:ascii="Cambria" w:eastAsia="Calibri" w:hAnsi="Cambria" w:cs="Times New Roman"/>
          <w:i/>
          <w:sz w:val="20"/>
          <w:lang w:val="es-ES"/>
        </w:rPr>
        <w:t>…”</w:t>
      </w:r>
    </w:p>
    <w:p w:rsidR="001F5EAE" w:rsidRDefault="001F5EAE" w:rsidP="001F5EAE">
      <w:pPr>
        <w:spacing w:after="0"/>
        <w:ind w:firstLine="708"/>
        <w:jc w:val="both"/>
        <w:rPr>
          <w:rFonts w:ascii="Cambria" w:eastAsia="Calibri" w:hAnsi="Cambria" w:cs="Times New Roman"/>
          <w:b/>
          <w:lang w:val="es-ES"/>
        </w:rPr>
      </w:pPr>
    </w:p>
    <w:p w:rsidR="003C3AF4" w:rsidRPr="00D77BD5" w:rsidRDefault="00E9166D" w:rsidP="001F5EAE">
      <w:pPr>
        <w:spacing w:after="0"/>
        <w:ind w:firstLine="708"/>
        <w:jc w:val="both"/>
        <w:rPr>
          <w:rFonts w:ascii="Cambria" w:eastAsia="Calibri" w:hAnsi="Cambria" w:cs="Times New Roman"/>
          <w:lang w:val="es-ES"/>
        </w:rPr>
      </w:pPr>
      <w:r w:rsidRPr="00063F8A">
        <w:rPr>
          <w:rFonts w:ascii="Cambria" w:eastAsia="Calibri" w:hAnsi="Cambria" w:cs="Times New Roman"/>
          <w:b/>
          <w:lang w:val="es-ES"/>
        </w:rPr>
        <w:t>VII</w:t>
      </w:r>
      <w:r w:rsidR="003C3AF4" w:rsidRPr="00063F8A">
        <w:rPr>
          <w:rFonts w:ascii="Cambria" w:eastAsia="Calibri" w:hAnsi="Cambria" w:cs="Times New Roman"/>
          <w:b/>
          <w:lang w:val="es-ES"/>
        </w:rPr>
        <w:t>.</w:t>
      </w:r>
      <w:r w:rsidR="003C3AF4" w:rsidRPr="00063F8A">
        <w:rPr>
          <w:rFonts w:ascii="Cambria" w:eastAsia="Calibri" w:hAnsi="Cambria" w:cs="Times New Roman"/>
          <w:lang w:val="es-ES"/>
        </w:rPr>
        <w:t xml:space="preserve"> </w:t>
      </w:r>
      <w:r w:rsidRPr="00063F8A">
        <w:rPr>
          <w:rFonts w:ascii="Cambria" w:eastAsia="Calibri" w:hAnsi="Cambria" w:cs="Times New Roman"/>
          <w:lang w:val="es-ES"/>
        </w:rPr>
        <w:t>De igual manera y para los efectos de aprobar la reestructura antes señalada. l</w:t>
      </w:r>
      <w:r w:rsidR="003C3AF4" w:rsidRPr="00063F8A">
        <w:rPr>
          <w:rFonts w:ascii="Cambria" w:eastAsia="Calibri" w:hAnsi="Cambria" w:cs="Times New Roman"/>
          <w:lang w:val="es-ES"/>
        </w:rPr>
        <w:t>a</w:t>
      </w:r>
      <w:r w:rsidR="003C3AF4" w:rsidRPr="00D77BD5">
        <w:rPr>
          <w:rFonts w:ascii="Cambria" w:eastAsia="Calibri" w:hAnsi="Cambria" w:cs="Times New Roman"/>
          <w:lang w:val="es-ES"/>
        </w:rPr>
        <w:t xml:space="preserve"> fracción I del artículo 36 de la Ley del Gobierno y la Administración Pública Municipal del Estado de Jalisco establece lo siguiente:</w:t>
      </w:r>
    </w:p>
    <w:p w:rsidR="003C3AF4" w:rsidRPr="00F4025F" w:rsidRDefault="003C3AF4" w:rsidP="001F5EAE">
      <w:pPr>
        <w:spacing w:after="0"/>
        <w:ind w:firstLine="708"/>
        <w:jc w:val="both"/>
        <w:rPr>
          <w:rFonts w:ascii="Cambria" w:eastAsia="Calibri" w:hAnsi="Cambria" w:cs="Times New Roman"/>
          <w:sz w:val="20"/>
          <w:lang w:val="es-ES"/>
        </w:rPr>
      </w:pPr>
    </w:p>
    <w:p w:rsidR="003C3AF4" w:rsidRPr="00F4025F" w:rsidRDefault="003C3AF4" w:rsidP="001F5EAE">
      <w:pPr>
        <w:spacing w:after="0"/>
        <w:ind w:firstLine="708"/>
        <w:jc w:val="both"/>
        <w:rPr>
          <w:rFonts w:ascii="Cambria" w:eastAsia="Calibri" w:hAnsi="Cambria" w:cs="Times New Roman"/>
          <w:i/>
          <w:sz w:val="20"/>
          <w:lang w:val="es-ES"/>
        </w:rPr>
      </w:pPr>
      <w:r w:rsidRPr="00F4025F">
        <w:rPr>
          <w:rFonts w:ascii="Cambria" w:eastAsia="Calibri" w:hAnsi="Cambria" w:cs="Times New Roman"/>
          <w:i/>
          <w:sz w:val="20"/>
          <w:lang w:val="es-ES"/>
        </w:rPr>
        <w:t>“Artículo 36. Se requiere el voto favorable de la mayoría calificada de los integrantes del Ayuntamiento para:</w:t>
      </w:r>
    </w:p>
    <w:p w:rsidR="003C3AF4" w:rsidRPr="00F4025F" w:rsidRDefault="003C3AF4" w:rsidP="001F5EAE">
      <w:pPr>
        <w:spacing w:after="0"/>
        <w:ind w:firstLine="708"/>
        <w:jc w:val="both"/>
        <w:rPr>
          <w:rFonts w:ascii="Cambria" w:eastAsia="Calibri" w:hAnsi="Cambria" w:cs="Times New Roman"/>
          <w:i/>
          <w:sz w:val="20"/>
          <w:lang w:val="es-ES"/>
        </w:rPr>
      </w:pPr>
    </w:p>
    <w:p w:rsidR="003C3AF4" w:rsidRPr="00F4025F" w:rsidRDefault="003C3AF4" w:rsidP="001F5EAE">
      <w:pPr>
        <w:spacing w:after="0"/>
        <w:ind w:firstLine="708"/>
        <w:jc w:val="both"/>
        <w:rPr>
          <w:rFonts w:ascii="Cambria" w:eastAsia="Calibri" w:hAnsi="Cambria" w:cs="Times New Roman"/>
          <w:i/>
          <w:sz w:val="20"/>
          <w:lang w:val="es-ES"/>
        </w:rPr>
      </w:pPr>
      <w:r w:rsidRPr="00F4025F">
        <w:rPr>
          <w:rFonts w:ascii="Cambria" w:eastAsia="Calibri" w:hAnsi="Cambria" w:cs="Times New Roman"/>
          <w:i/>
          <w:sz w:val="20"/>
          <w:lang w:val="es-ES"/>
        </w:rPr>
        <w:t>I. Celebrar actos jurídicos o convenios que comprometan al Municipio por un plazo mayor al periodo del Ayuntamiento;</w:t>
      </w:r>
    </w:p>
    <w:p w:rsidR="003C3AF4" w:rsidRPr="00F4025F" w:rsidRDefault="003C3AF4" w:rsidP="001F5EAE">
      <w:pPr>
        <w:spacing w:after="0"/>
        <w:ind w:firstLine="708"/>
        <w:jc w:val="both"/>
        <w:rPr>
          <w:rFonts w:ascii="Cambria" w:eastAsia="Calibri" w:hAnsi="Cambria" w:cs="Times New Roman"/>
          <w:i/>
          <w:sz w:val="20"/>
          <w:lang w:val="es-ES"/>
        </w:rPr>
      </w:pPr>
      <w:r w:rsidRPr="00F4025F">
        <w:rPr>
          <w:rFonts w:ascii="Cambria" w:eastAsia="Calibri" w:hAnsi="Cambria" w:cs="Times New Roman"/>
          <w:i/>
          <w:sz w:val="20"/>
          <w:lang w:val="es-ES"/>
        </w:rPr>
        <w:t>…”</w:t>
      </w:r>
    </w:p>
    <w:p w:rsidR="00697CA0" w:rsidRDefault="00697CA0" w:rsidP="001F5EAE">
      <w:pPr>
        <w:spacing w:after="0"/>
        <w:ind w:firstLine="708"/>
        <w:jc w:val="both"/>
        <w:rPr>
          <w:rFonts w:ascii="Cambria" w:eastAsia="Calibri" w:hAnsi="Cambria" w:cs="Times New Roman"/>
        </w:rPr>
      </w:pPr>
    </w:p>
    <w:p w:rsidR="00132917" w:rsidRPr="00D77BD5" w:rsidRDefault="00132917" w:rsidP="001F5EAE">
      <w:pPr>
        <w:spacing w:after="0"/>
        <w:ind w:firstLine="708"/>
        <w:jc w:val="both"/>
        <w:rPr>
          <w:rFonts w:ascii="Cambria" w:eastAsia="Calibri" w:hAnsi="Cambria" w:cs="Times New Roman"/>
          <w:bCs/>
        </w:rPr>
      </w:pPr>
      <w:r w:rsidRPr="00D77BD5">
        <w:rPr>
          <w:rFonts w:ascii="Cambria" w:eastAsia="Calibri" w:hAnsi="Cambria" w:cs="Times New Roman"/>
          <w:bCs/>
        </w:rPr>
        <w:t xml:space="preserve">Por los motivos antes expuestos, los integrantes de esta Comisión Edilicia Permanente de Hacienda Pública y de Patrimonio Municipal dictaminamos bajo el siguiente: </w:t>
      </w:r>
    </w:p>
    <w:p w:rsidR="001F5EAE" w:rsidRPr="00D77BD5" w:rsidRDefault="001F5EAE" w:rsidP="001F5EAE">
      <w:pPr>
        <w:spacing w:after="0"/>
        <w:jc w:val="center"/>
        <w:rPr>
          <w:rFonts w:ascii="Cambria" w:eastAsia="Calibri" w:hAnsi="Cambria" w:cs="Times New Roman"/>
          <w:b/>
        </w:rPr>
      </w:pPr>
    </w:p>
    <w:p w:rsidR="00132917" w:rsidRDefault="00132917" w:rsidP="001F5EAE">
      <w:pPr>
        <w:spacing w:after="0"/>
        <w:jc w:val="center"/>
        <w:rPr>
          <w:rFonts w:ascii="Cambria" w:eastAsia="Calibri" w:hAnsi="Cambria" w:cs="Times New Roman"/>
          <w:b/>
        </w:rPr>
      </w:pPr>
      <w:r w:rsidRPr="00132917">
        <w:rPr>
          <w:rFonts w:ascii="Cambria" w:eastAsia="Calibri" w:hAnsi="Cambria" w:cs="Times New Roman"/>
          <w:b/>
        </w:rPr>
        <w:t>C O N S I D E R A N D O:</w:t>
      </w:r>
    </w:p>
    <w:p w:rsidR="00D77BD5" w:rsidRPr="00132917" w:rsidRDefault="00D77BD5" w:rsidP="001F5EAE">
      <w:pPr>
        <w:spacing w:after="0"/>
        <w:jc w:val="center"/>
        <w:rPr>
          <w:rFonts w:ascii="Cambria" w:eastAsia="Calibri" w:hAnsi="Cambria" w:cs="Times New Roman"/>
          <w:b/>
        </w:rPr>
      </w:pPr>
    </w:p>
    <w:p w:rsidR="006E3559" w:rsidRPr="00D77BD5" w:rsidRDefault="00132917" w:rsidP="00D77BD5">
      <w:pPr>
        <w:spacing w:after="0"/>
        <w:ind w:firstLine="708"/>
        <w:jc w:val="both"/>
        <w:rPr>
          <w:rFonts w:ascii="Cambria" w:eastAsia="Calibri" w:hAnsi="Cambria" w:cs="Times New Roman"/>
        </w:rPr>
      </w:pPr>
      <w:r w:rsidRPr="00D77BD5">
        <w:rPr>
          <w:rFonts w:ascii="Cambria" w:eastAsia="Calibri" w:hAnsi="Cambria" w:cs="Times New Roman"/>
        </w:rPr>
        <w:t xml:space="preserve">Visto lo anterior y con el fin de </w:t>
      </w:r>
      <w:r w:rsidR="00043AB5" w:rsidRPr="00D77BD5">
        <w:rPr>
          <w:rFonts w:ascii="Cambria" w:eastAsia="Calibri" w:hAnsi="Cambria" w:cs="Times New Roman"/>
        </w:rPr>
        <w:t xml:space="preserve">obtener </w:t>
      </w:r>
      <w:r w:rsidR="00043AB5" w:rsidRPr="00D77BD5">
        <w:rPr>
          <w:rFonts w:ascii="Cambria" w:eastAsia="Calibri" w:hAnsi="Cambria" w:cs="Times New Roman"/>
          <w:lang w:val="es-ES"/>
        </w:rPr>
        <w:t>una mejor en la tasa de interés, así como dar cumplimiento con la Ley de Disciplina Financiera de las Entidades Federativas y los Municipios</w:t>
      </w:r>
      <w:r w:rsidR="00043AB5" w:rsidRPr="00D77BD5">
        <w:rPr>
          <w:rFonts w:ascii="Cambria" w:eastAsia="Calibri" w:hAnsi="Cambria" w:cs="Times New Roman"/>
          <w:bCs/>
          <w:lang w:val="es-ES"/>
        </w:rPr>
        <w:t xml:space="preserve"> y la Ley de Deuda Pública y Disciplina Financiera del Estado de Jalisco y sus Municipios, </w:t>
      </w:r>
      <w:r w:rsidRPr="00D77BD5">
        <w:rPr>
          <w:rFonts w:ascii="Cambria" w:eastAsia="Calibri" w:hAnsi="Cambria" w:cs="Times New Roman"/>
        </w:rPr>
        <w:t xml:space="preserve">así como de lo </w:t>
      </w:r>
      <w:r w:rsidR="00C43BCC" w:rsidRPr="00D77BD5">
        <w:rPr>
          <w:rFonts w:ascii="Cambria" w:eastAsia="Calibri" w:hAnsi="Cambria" w:cs="Times New Roman"/>
        </w:rPr>
        <w:t xml:space="preserve">dispuesto por los artículos 60, 70, </w:t>
      </w:r>
      <w:r w:rsidR="006E3559" w:rsidRPr="00D77BD5">
        <w:rPr>
          <w:rFonts w:ascii="Cambria" w:eastAsia="Calibri" w:hAnsi="Cambria" w:cs="Times New Roman"/>
        </w:rPr>
        <w:t>71 y demás relativos y aplicables del Reglamento Interior del Ayuntamiento; los integrantes de la Comisión Edilicia de Hacienda Pública y Patrimonio Municipal, en sesión</w:t>
      </w:r>
      <w:r w:rsidR="007F313B">
        <w:rPr>
          <w:rFonts w:ascii="Cambria" w:eastAsia="Calibri" w:hAnsi="Cambria" w:cs="Times New Roman"/>
        </w:rPr>
        <w:t xml:space="preserve"> ordinaria 27</w:t>
      </w:r>
      <w:r w:rsidR="006E3559" w:rsidRPr="00D77BD5">
        <w:rPr>
          <w:rFonts w:ascii="Cambria" w:eastAsia="Calibri" w:hAnsi="Cambria" w:cs="Times New Roman"/>
        </w:rPr>
        <w:t xml:space="preserve"> de comisión celebrada el </w:t>
      </w:r>
      <w:r w:rsidR="006E3559" w:rsidRPr="007F313B">
        <w:rPr>
          <w:rFonts w:ascii="Cambria" w:eastAsia="Calibri" w:hAnsi="Cambria" w:cs="Times New Roman"/>
        </w:rPr>
        <w:t xml:space="preserve">día </w:t>
      </w:r>
      <w:r w:rsidR="007F313B" w:rsidRPr="007F313B">
        <w:rPr>
          <w:rFonts w:ascii="Cambria" w:eastAsia="Calibri" w:hAnsi="Cambria" w:cs="Times New Roman"/>
        </w:rPr>
        <w:t>21</w:t>
      </w:r>
      <w:r w:rsidR="00614703" w:rsidRPr="007F313B">
        <w:rPr>
          <w:rFonts w:ascii="Cambria" w:eastAsia="Calibri" w:hAnsi="Cambria" w:cs="Times New Roman"/>
        </w:rPr>
        <w:t xml:space="preserve"> de </w:t>
      </w:r>
      <w:r w:rsidR="007F313B" w:rsidRPr="007F313B">
        <w:rPr>
          <w:rFonts w:ascii="Cambria" w:eastAsia="Calibri" w:hAnsi="Cambria" w:cs="Times New Roman"/>
        </w:rPr>
        <w:t>julio 2020</w:t>
      </w:r>
      <w:r w:rsidR="006E3559" w:rsidRPr="007F313B">
        <w:rPr>
          <w:rFonts w:ascii="Cambria" w:eastAsia="Calibri" w:hAnsi="Cambria" w:cs="Times New Roman"/>
        </w:rPr>
        <w:t xml:space="preserve">, aprobamos el presente dictamen por </w:t>
      </w:r>
      <w:r w:rsidR="0015355A" w:rsidRPr="007F313B">
        <w:rPr>
          <w:rFonts w:ascii="Cambria" w:eastAsia="Calibri" w:hAnsi="Cambria" w:cs="Times New Roman"/>
        </w:rPr>
        <w:t>unanimidad</w:t>
      </w:r>
      <w:r w:rsidR="006E3559" w:rsidRPr="007F313B">
        <w:rPr>
          <w:rFonts w:ascii="Cambria" w:eastAsia="Calibri" w:hAnsi="Cambria" w:cs="Times New Roman"/>
        </w:rPr>
        <w:t>;</w:t>
      </w:r>
      <w:r w:rsidR="006E3559" w:rsidRPr="00D77BD5">
        <w:rPr>
          <w:rFonts w:ascii="Cambria" w:eastAsia="Calibri" w:hAnsi="Cambria" w:cs="Times New Roman"/>
        </w:rPr>
        <w:t xml:space="preserve"> proponiendo para su discusión y en su caso aprobación dictamen que contiene los siguientes:</w:t>
      </w:r>
    </w:p>
    <w:p w:rsidR="001F5EAE" w:rsidRPr="001F5EAE" w:rsidRDefault="001F5EAE" w:rsidP="001F5EAE">
      <w:pPr>
        <w:spacing w:after="0"/>
        <w:jc w:val="center"/>
        <w:rPr>
          <w:rFonts w:ascii="Cambria" w:eastAsia="Calibri" w:hAnsi="Cambria" w:cs="Times New Roman"/>
          <w:b/>
        </w:rPr>
      </w:pPr>
    </w:p>
    <w:p w:rsidR="00973503" w:rsidRPr="001F5EAE" w:rsidRDefault="00B67743" w:rsidP="001F5EAE">
      <w:pPr>
        <w:spacing w:after="0"/>
        <w:jc w:val="center"/>
        <w:rPr>
          <w:rFonts w:ascii="Cambria" w:eastAsia="Calibri" w:hAnsi="Cambria" w:cs="Times New Roman"/>
          <w:b/>
        </w:rPr>
      </w:pPr>
      <w:r w:rsidRPr="001F5EAE">
        <w:rPr>
          <w:rFonts w:ascii="Cambria" w:eastAsia="Calibri" w:hAnsi="Cambria" w:cs="Times New Roman"/>
          <w:b/>
        </w:rPr>
        <w:t>RESOLUTIVOS</w:t>
      </w:r>
      <w:r w:rsidR="00973503" w:rsidRPr="001F5EAE">
        <w:rPr>
          <w:rFonts w:ascii="Cambria" w:eastAsia="Calibri" w:hAnsi="Cambria" w:cs="Times New Roman"/>
          <w:b/>
        </w:rPr>
        <w:t>:</w:t>
      </w:r>
    </w:p>
    <w:p w:rsidR="008F2C69" w:rsidRDefault="008F2C69" w:rsidP="001F5EAE">
      <w:pPr>
        <w:pStyle w:val="NormalWeb"/>
        <w:spacing w:before="0" w:beforeAutospacing="0" w:after="0" w:afterAutospacing="0" w:line="259" w:lineRule="auto"/>
        <w:jc w:val="both"/>
        <w:rPr>
          <w:rFonts w:ascii="Cambria" w:eastAsia="Calibri" w:hAnsi="Cambria"/>
          <w:b/>
          <w:iCs/>
          <w:sz w:val="22"/>
          <w:szCs w:val="22"/>
          <w:lang w:eastAsia="en-US"/>
        </w:rPr>
      </w:pPr>
    </w:p>
    <w:p w:rsidR="008F2C69" w:rsidRPr="008F2C69" w:rsidRDefault="008F2C69" w:rsidP="00E9166D">
      <w:pPr>
        <w:pStyle w:val="NormalWeb"/>
        <w:spacing w:before="0" w:beforeAutospacing="0" w:after="0" w:afterAutospacing="0" w:line="276" w:lineRule="auto"/>
        <w:jc w:val="both"/>
        <w:rPr>
          <w:rFonts w:ascii="Cambria" w:eastAsia="Calibri" w:hAnsi="Cambria"/>
          <w:bCs/>
          <w:iCs/>
          <w:sz w:val="22"/>
          <w:lang w:val="es-ES"/>
        </w:rPr>
      </w:pPr>
      <w:r w:rsidRPr="008F2C69">
        <w:rPr>
          <w:rFonts w:ascii="Cambria" w:eastAsia="Calibri" w:hAnsi="Cambria"/>
          <w:b/>
          <w:iCs/>
          <w:sz w:val="22"/>
          <w:lang w:val="es-ES"/>
        </w:rPr>
        <w:t>PRIMERO</w:t>
      </w:r>
      <w:r w:rsidRPr="008F2C69">
        <w:rPr>
          <w:rFonts w:ascii="Cambria" w:eastAsia="Calibri" w:hAnsi="Cambria"/>
          <w:iCs/>
          <w:sz w:val="22"/>
          <w:lang w:val="es-ES"/>
        </w:rPr>
        <w:t xml:space="preserve">. Se autoriza al </w:t>
      </w:r>
      <w:r w:rsidR="00E9166D">
        <w:rPr>
          <w:rFonts w:ascii="Cambria" w:eastAsia="Calibri" w:hAnsi="Cambria"/>
          <w:iCs/>
          <w:sz w:val="22"/>
          <w:lang w:val="es-ES"/>
        </w:rPr>
        <w:t>M</w:t>
      </w:r>
      <w:r w:rsidRPr="008F2C69">
        <w:rPr>
          <w:rFonts w:ascii="Cambria" w:eastAsia="Calibri" w:hAnsi="Cambria"/>
          <w:iCs/>
          <w:sz w:val="22"/>
          <w:lang w:val="es-ES"/>
        </w:rPr>
        <w:t xml:space="preserve">unicipio de Zapotlán el Grande, Jalisco, a realizar todos los actos necesarios para la reestructura del contrato de apertura de crédito celebrado con el </w:t>
      </w:r>
      <w:r w:rsidRPr="008F2C69">
        <w:rPr>
          <w:rFonts w:ascii="Cambria" w:eastAsia="Calibri" w:hAnsi="Cambria"/>
          <w:bCs/>
          <w:iCs/>
          <w:sz w:val="22"/>
          <w:lang w:val="es-ES"/>
        </w:rPr>
        <w:t xml:space="preserve">Banco Nacional de Obras y Servicios Públicos, S. N. C., Institución de Banca de Desarrollo, de fecha 27 </w:t>
      </w:r>
      <w:r w:rsidRPr="008F2C69">
        <w:rPr>
          <w:rFonts w:ascii="Cambria" w:eastAsia="Calibri" w:hAnsi="Cambria"/>
          <w:bCs/>
          <w:iCs/>
          <w:sz w:val="22"/>
          <w:lang w:val="es-ES"/>
        </w:rPr>
        <w:lastRenderedPageBreak/>
        <w:t xml:space="preserve">de diciembre de 2019, originalmente formalizado por un monto de </w:t>
      </w:r>
      <w:r w:rsidRPr="008F2C69">
        <w:rPr>
          <w:rFonts w:ascii="Cambria" w:eastAsia="Calibri" w:hAnsi="Cambria"/>
          <w:b/>
          <w:bCs/>
          <w:iCs/>
          <w:sz w:val="22"/>
          <w:lang w:val="es-ES"/>
        </w:rPr>
        <w:t xml:space="preserve">$49,324,768.02 </w:t>
      </w:r>
      <w:r w:rsidRPr="008F2C69">
        <w:rPr>
          <w:rFonts w:ascii="Cambria" w:eastAsia="Calibri" w:hAnsi="Cambria"/>
          <w:b/>
          <w:iCs/>
          <w:sz w:val="22"/>
          <w:lang w:val="es-ES"/>
        </w:rPr>
        <w:t>(Cuarenta y nueve millones trescientos veinticuatro mil setecientos sesenta y ocho pesos 00/100 M.N.)</w:t>
      </w:r>
      <w:r w:rsidRPr="008F2C69">
        <w:rPr>
          <w:rFonts w:ascii="Cambria" w:eastAsia="Calibri" w:hAnsi="Cambria"/>
          <w:iCs/>
          <w:sz w:val="22"/>
          <w:lang w:val="es-ES"/>
        </w:rPr>
        <w:t xml:space="preserve"> </w:t>
      </w:r>
      <w:r w:rsidRPr="008F2C69">
        <w:rPr>
          <w:rFonts w:ascii="Cambria" w:eastAsia="Calibri" w:hAnsi="Cambria"/>
          <w:bCs/>
          <w:iCs/>
          <w:sz w:val="22"/>
          <w:lang w:val="es-ES"/>
        </w:rPr>
        <w:t xml:space="preserve">y cuyo saldo insoluto será el que resulte aplicable al momento de la reestructura, la cual consistirá </w:t>
      </w:r>
      <w:r w:rsidRPr="00554253">
        <w:rPr>
          <w:rFonts w:ascii="Cambria" w:eastAsia="Calibri" w:hAnsi="Cambria"/>
          <w:bCs/>
          <w:iCs/>
          <w:sz w:val="22"/>
          <w:lang w:val="es-ES"/>
        </w:rPr>
        <w:t>en</w:t>
      </w:r>
      <w:r w:rsidRPr="00554253">
        <w:rPr>
          <w:rFonts w:ascii="Cambria" w:eastAsia="Calibri" w:hAnsi="Cambria"/>
          <w:b/>
          <w:bCs/>
          <w:iCs/>
          <w:sz w:val="22"/>
          <w:lang w:val="es-ES"/>
        </w:rPr>
        <w:t xml:space="preserve"> la disminución </w:t>
      </w:r>
      <w:r w:rsidR="00554253" w:rsidRPr="00554253">
        <w:rPr>
          <w:rFonts w:ascii="Cambria" w:eastAsia="Calibri" w:hAnsi="Cambria"/>
          <w:b/>
          <w:bCs/>
          <w:iCs/>
          <w:sz w:val="22"/>
          <w:lang w:val="es-ES"/>
        </w:rPr>
        <w:t xml:space="preserve">de </w:t>
      </w:r>
      <w:r w:rsidRPr="00554253">
        <w:rPr>
          <w:rFonts w:ascii="Cambria" w:eastAsia="Calibri" w:hAnsi="Cambria"/>
          <w:b/>
          <w:bCs/>
          <w:iCs/>
          <w:sz w:val="22"/>
          <w:lang w:val="es-ES"/>
        </w:rPr>
        <w:t>la tasa de interés aplicable al crédito</w:t>
      </w:r>
      <w:r w:rsidRPr="008F2C69">
        <w:rPr>
          <w:rFonts w:ascii="Cambria" w:eastAsia="Calibri" w:hAnsi="Cambria"/>
          <w:bCs/>
          <w:iCs/>
          <w:sz w:val="22"/>
          <w:lang w:val="es-ES"/>
        </w:rPr>
        <w:t xml:space="preserve"> y la reducción de los porcentajes del Fondo General de Participaciones (FGP) y del Fondo de Fomento Municipal (FFM) que se encuentran afectados como fuente de pago del crédito.</w:t>
      </w:r>
    </w:p>
    <w:p w:rsidR="008F2C69" w:rsidRPr="008F2C69" w:rsidRDefault="008F2C69" w:rsidP="008F2C69">
      <w:pPr>
        <w:pStyle w:val="NormalWeb"/>
        <w:spacing w:before="0" w:beforeAutospacing="0" w:after="0" w:afterAutospacing="0" w:line="259" w:lineRule="auto"/>
        <w:jc w:val="both"/>
        <w:rPr>
          <w:rFonts w:ascii="Cambria" w:eastAsia="Calibri" w:hAnsi="Cambria"/>
          <w:bCs/>
          <w:iCs/>
          <w:sz w:val="22"/>
          <w:lang w:val="es-ES"/>
        </w:rPr>
      </w:pPr>
    </w:p>
    <w:p w:rsidR="008F2C69" w:rsidRPr="008F2C69" w:rsidRDefault="008F2C69" w:rsidP="00E9166D">
      <w:pPr>
        <w:pStyle w:val="NormalWeb"/>
        <w:spacing w:before="0" w:beforeAutospacing="0" w:after="0" w:afterAutospacing="0" w:line="276" w:lineRule="auto"/>
        <w:jc w:val="both"/>
        <w:rPr>
          <w:rFonts w:ascii="Cambria" w:eastAsia="Calibri" w:hAnsi="Cambria"/>
          <w:bCs/>
          <w:iCs/>
          <w:sz w:val="22"/>
          <w:lang w:val="es-ES"/>
        </w:rPr>
      </w:pPr>
      <w:r w:rsidRPr="008F2C69">
        <w:rPr>
          <w:rFonts w:ascii="Cambria" w:eastAsia="Calibri" w:hAnsi="Cambria"/>
          <w:b/>
          <w:bCs/>
          <w:iCs/>
          <w:sz w:val="22"/>
          <w:lang w:val="es-ES"/>
        </w:rPr>
        <w:t>SEGUNDO</w:t>
      </w:r>
      <w:r w:rsidRPr="008F2C69">
        <w:rPr>
          <w:rFonts w:ascii="Cambria" w:eastAsia="Calibri" w:hAnsi="Cambria"/>
          <w:bCs/>
          <w:iCs/>
          <w:sz w:val="22"/>
          <w:lang w:val="es-ES"/>
        </w:rPr>
        <w:t>. La</w:t>
      </w:r>
      <w:r w:rsidRPr="008F2C69">
        <w:rPr>
          <w:rFonts w:ascii="Cambria" w:eastAsia="Calibri" w:hAnsi="Cambria"/>
          <w:iCs/>
          <w:sz w:val="22"/>
          <w:lang w:val="es-ES"/>
        </w:rPr>
        <w:t xml:space="preserve"> reestructura del crédito se realizará de conformidad con lo establecido en el </w:t>
      </w:r>
      <w:r w:rsidRPr="002706A5">
        <w:rPr>
          <w:rFonts w:ascii="Cambria" w:eastAsia="Calibri" w:hAnsi="Cambria"/>
          <w:iCs/>
          <w:sz w:val="22"/>
          <w:lang w:val="es-ES"/>
        </w:rPr>
        <w:t xml:space="preserve">artículo 23 de la Ley de Disciplina Financiera de las Entidades Federativas y los Municipios, así como en los artículos 14 y 24, fracciones V y VI, de la </w:t>
      </w:r>
      <w:r w:rsidRPr="002706A5">
        <w:rPr>
          <w:rFonts w:ascii="Cambria" w:eastAsia="Calibri" w:hAnsi="Cambria"/>
          <w:bCs/>
          <w:iCs/>
          <w:sz w:val="22"/>
          <w:lang w:val="es-ES"/>
        </w:rPr>
        <w:t>Ley de Deuda Pública y Disciplina Financiera del Estado de Jalisco y sus Municipios, por lo que no serán modificados el plazo de vencimiento del crédito ni el perfil de amortización del mismo</w:t>
      </w:r>
      <w:r w:rsidR="00D60B8C" w:rsidRPr="002706A5">
        <w:rPr>
          <w:rFonts w:ascii="Cambria" w:eastAsia="Calibri" w:hAnsi="Cambria"/>
          <w:bCs/>
          <w:iCs/>
          <w:sz w:val="22"/>
          <w:lang w:val="es-ES"/>
        </w:rPr>
        <w:t xml:space="preserve"> </w:t>
      </w:r>
      <w:r w:rsidR="00D60B8C" w:rsidRPr="002706A5">
        <w:rPr>
          <w:rFonts w:ascii="Cambria" w:hAnsi="Cambria" w:cstheme="majorHAnsi"/>
          <w:bCs/>
          <w:sz w:val="22"/>
        </w:rPr>
        <w:t xml:space="preserve">y </w:t>
      </w:r>
      <w:r w:rsidR="00D60B8C" w:rsidRPr="002706A5">
        <w:rPr>
          <w:rFonts w:ascii="Cambria" w:eastAsia="Calibri" w:hAnsi="Cambria"/>
          <w:sz w:val="22"/>
        </w:rPr>
        <w:t xml:space="preserve">dentro de la Línea de crédito Global tramitada por el Gobierno del Estado de Jalisco con el Banco Nacional de Obras y Servicios Públicos (BANOBRAS), </w:t>
      </w:r>
      <w:r w:rsidR="00D60B8C" w:rsidRPr="002706A5">
        <w:rPr>
          <w:rFonts w:ascii="Cambria" w:eastAsia="Calibri" w:hAnsi="Cambria"/>
          <w:sz w:val="22"/>
          <w:szCs w:val="22"/>
        </w:rPr>
        <w:t>previsto por el Título Décimo de la Ley de Ingresos del Estado de Jalisco para ejercicio Fiscal 2019</w:t>
      </w:r>
      <w:r w:rsidRPr="002706A5">
        <w:rPr>
          <w:rFonts w:ascii="Cambria" w:eastAsia="Calibri" w:hAnsi="Cambria"/>
          <w:bCs/>
          <w:iCs/>
          <w:sz w:val="22"/>
          <w:szCs w:val="22"/>
          <w:lang w:val="es-ES"/>
        </w:rPr>
        <w:t>.</w:t>
      </w:r>
    </w:p>
    <w:p w:rsidR="008F2C69" w:rsidRPr="008F2C69" w:rsidRDefault="008F2C69" w:rsidP="008F2C69">
      <w:pPr>
        <w:pStyle w:val="NormalWeb"/>
        <w:spacing w:before="0" w:beforeAutospacing="0" w:after="0" w:afterAutospacing="0" w:line="259" w:lineRule="auto"/>
        <w:jc w:val="both"/>
        <w:rPr>
          <w:rFonts w:ascii="Cambria" w:eastAsia="Calibri" w:hAnsi="Cambria"/>
          <w:bCs/>
          <w:iCs/>
          <w:sz w:val="22"/>
          <w:lang w:val="es-ES"/>
        </w:rPr>
      </w:pPr>
    </w:p>
    <w:p w:rsidR="008F2C69" w:rsidRPr="008F2C69" w:rsidRDefault="008F2C69" w:rsidP="00E9166D">
      <w:pPr>
        <w:pStyle w:val="NormalWeb"/>
        <w:spacing w:before="0" w:beforeAutospacing="0" w:after="0" w:afterAutospacing="0" w:line="276" w:lineRule="auto"/>
        <w:jc w:val="both"/>
        <w:rPr>
          <w:rFonts w:ascii="Cambria" w:eastAsia="Calibri" w:hAnsi="Cambria"/>
          <w:bCs/>
          <w:iCs/>
          <w:sz w:val="22"/>
          <w:lang w:val="es-ES"/>
        </w:rPr>
      </w:pPr>
      <w:r w:rsidRPr="008F2C69">
        <w:rPr>
          <w:rFonts w:ascii="Cambria" w:eastAsia="Calibri" w:hAnsi="Cambria"/>
          <w:b/>
          <w:bCs/>
          <w:iCs/>
          <w:sz w:val="22"/>
          <w:lang w:val="es-ES"/>
        </w:rPr>
        <w:t>TERCERO</w:t>
      </w:r>
      <w:r w:rsidRPr="008F2C69">
        <w:rPr>
          <w:rFonts w:ascii="Cambria" w:eastAsia="Calibri" w:hAnsi="Cambria"/>
          <w:bCs/>
          <w:iCs/>
          <w:sz w:val="22"/>
          <w:lang w:val="es-ES"/>
        </w:rPr>
        <w:t>. La reestructura que se realice al amparo de la presente autorización podrá ser formalizada por el municipio durante el presente ejercicio</w:t>
      </w:r>
      <w:r>
        <w:rPr>
          <w:rFonts w:ascii="Cambria" w:eastAsia="Calibri" w:hAnsi="Cambria"/>
          <w:bCs/>
          <w:iCs/>
          <w:sz w:val="22"/>
          <w:lang w:val="es-ES"/>
        </w:rPr>
        <w:t xml:space="preserve"> fiscal</w:t>
      </w:r>
      <w:r w:rsidRPr="008F2C69">
        <w:rPr>
          <w:rFonts w:ascii="Cambria" w:eastAsia="Calibri" w:hAnsi="Cambria"/>
          <w:bCs/>
          <w:iCs/>
          <w:sz w:val="22"/>
          <w:lang w:val="es-ES"/>
        </w:rPr>
        <w:t>.</w:t>
      </w:r>
      <w:r w:rsidR="00886684">
        <w:rPr>
          <w:rFonts w:ascii="Cambria" w:eastAsia="Calibri" w:hAnsi="Cambria"/>
          <w:bCs/>
          <w:iCs/>
          <w:sz w:val="22"/>
          <w:lang w:val="es-ES"/>
        </w:rPr>
        <w:t xml:space="preserve"> </w:t>
      </w:r>
    </w:p>
    <w:p w:rsidR="008F2C69" w:rsidRPr="008F2C69" w:rsidRDefault="008F2C69" w:rsidP="008F2C69">
      <w:pPr>
        <w:pStyle w:val="NormalWeb"/>
        <w:spacing w:before="0" w:beforeAutospacing="0" w:after="0" w:afterAutospacing="0" w:line="259" w:lineRule="auto"/>
        <w:jc w:val="both"/>
        <w:rPr>
          <w:rFonts w:ascii="Cambria" w:eastAsia="Calibri" w:hAnsi="Cambria"/>
          <w:bCs/>
          <w:iCs/>
          <w:sz w:val="22"/>
          <w:lang w:val="es-ES"/>
        </w:rPr>
      </w:pPr>
    </w:p>
    <w:p w:rsidR="008F2C69" w:rsidRPr="008F2C69" w:rsidRDefault="008F2C69" w:rsidP="00E9166D">
      <w:pPr>
        <w:pStyle w:val="NormalWeb"/>
        <w:spacing w:before="0" w:beforeAutospacing="0" w:after="0" w:afterAutospacing="0" w:line="276" w:lineRule="auto"/>
        <w:jc w:val="both"/>
        <w:rPr>
          <w:rFonts w:ascii="Cambria" w:eastAsia="Calibri" w:hAnsi="Cambria"/>
          <w:iCs/>
          <w:sz w:val="22"/>
          <w:lang w:val="es-ES"/>
        </w:rPr>
      </w:pPr>
      <w:r w:rsidRPr="008F2C69">
        <w:rPr>
          <w:rFonts w:ascii="Cambria" w:eastAsia="Calibri" w:hAnsi="Cambria"/>
          <w:b/>
          <w:iCs/>
          <w:sz w:val="22"/>
          <w:lang w:val="es-ES"/>
        </w:rPr>
        <w:t>CUARTO.</w:t>
      </w:r>
      <w:r w:rsidRPr="008F2C69">
        <w:rPr>
          <w:rFonts w:ascii="Cambria" w:eastAsia="Calibri" w:hAnsi="Cambria"/>
          <w:iCs/>
          <w:sz w:val="22"/>
          <w:lang w:val="es-ES"/>
        </w:rPr>
        <w:t xml:space="preserve"> Para la ejecución de los acuerdos anteriores se faculta al Presidente Municipal, Síndico Municipal, Secretario General, </w:t>
      </w:r>
      <w:r>
        <w:rPr>
          <w:rFonts w:ascii="Cambria" w:eastAsia="Calibri" w:hAnsi="Cambria"/>
          <w:iCs/>
          <w:sz w:val="22"/>
          <w:lang w:val="es-ES"/>
        </w:rPr>
        <w:t>Encargado de la Hacienda Municipal</w:t>
      </w:r>
      <w:r w:rsidRPr="008F2C69">
        <w:rPr>
          <w:rFonts w:ascii="Cambria" w:eastAsia="Calibri" w:hAnsi="Cambria"/>
          <w:iCs/>
          <w:sz w:val="22"/>
          <w:lang w:val="es-ES"/>
        </w:rPr>
        <w:t xml:space="preserve"> y demás representantes legales o servidores públicos facultados, para que instrumenten, celebren, modifiquen y/o suscriban todos los documentos, instrucciones irrevocables, títulos de crédito, contratos, convenios o cualquier instrumento legal que se requiera para formalizar todo lo relacionado con el presente acuerdo.</w:t>
      </w:r>
    </w:p>
    <w:p w:rsidR="008F2C69" w:rsidRPr="008F2C69" w:rsidRDefault="008F2C69" w:rsidP="008F2C69">
      <w:pPr>
        <w:pStyle w:val="NormalWeb"/>
        <w:spacing w:before="0" w:beforeAutospacing="0" w:after="0" w:afterAutospacing="0" w:line="259" w:lineRule="auto"/>
        <w:jc w:val="both"/>
        <w:rPr>
          <w:rFonts w:ascii="Cambria" w:eastAsia="Calibri" w:hAnsi="Cambria"/>
          <w:iCs/>
          <w:sz w:val="22"/>
          <w:lang w:val="es-ES"/>
        </w:rPr>
      </w:pPr>
    </w:p>
    <w:p w:rsidR="008F2C69" w:rsidRPr="008F2C69" w:rsidRDefault="008F2C69" w:rsidP="00E9166D">
      <w:pPr>
        <w:pStyle w:val="NormalWeb"/>
        <w:spacing w:before="0" w:beforeAutospacing="0" w:after="0" w:afterAutospacing="0" w:line="276" w:lineRule="auto"/>
        <w:jc w:val="both"/>
        <w:rPr>
          <w:rFonts w:ascii="Cambria" w:eastAsia="Calibri" w:hAnsi="Cambria"/>
          <w:iCs/>
          <w:sz w:val="22"/>
          <w:lang w:val="es-ES"/>
        </w:rPr>
      </w:pPr>
      <w:r w:rsidRPr="008F2C69">
        <w:rPr>
          <w:rFonts w:ascii="Cambria" w:eastAsia="Calibri" w:hAnsi="Cambria"/>
          <w:b/>
          <w:iCs/>
          <w:sz w:val="22"/>
          <w:lang w:val="es-ES"/>
        </w:rPr>
        <w:t>QUINTO</w:t>
      </w:r>
      <w:r w:rsidRPr="008F2C69">
        <w:rPr>
          <w:rFonts w:ascii="Cambria" w:eastAsia="Calibri" w:hAnsi="Cambria"/>
          <w:iCs/>
          <w:sz w:val="22"/>
          <w:lang w:val="es-ES"/>
        </w:rPr>
        <w:t xml:space="preserve">. Una vez formalizadas las operaciones que documenten las modificaciones a los financiamientos contratados, se deberá realizar el trámite correspondiente </w:t>
      </w:r>
      <w:r w:rsidRPr="00063F8A">
        <w:rPr>
          <w:rFonts w:ascii="Cambria" w:eastAsia="Calibri" w:hAnsi="Cambria"/>
          <w:iCs/>
          <w:sz w:val="22"/>
          <w:lang w:val="es-ES"/>
        </w:rPr>
        <w:t xml:space="preserve">a </w:t>
      </w:r>
      <w:r w:rsidR="00886684" w:rsidRPr="00063F8A">
        <w:rPr>
          <w:rFonts w:ascii="Cambria" w:eastAsia="Calibri" w:hAnsi="Cambria"/>
          <w:iCs/>
          <w:sz w:val="22"/>
          <w:lang w:val="es-ES"/>
        </w:rPr>
        <w:t xml:space="preserve">la </w:t>
      </w:r>
      <w:r w:rsidRPr="00063F8A">
        <w:rPr>
          <w:rFonts w:ascii="Cambria" w:eastAsia="Calibri" w:hAnsi="Cambria"/>
          <w:iCs/>
          <w:sz w:val="22"/>
          <w:lang w:val="es-ES"/>
        </w:rPr>
        <w:t>su</w:t>
      </w:r>
      <w:r w:rsidRPr="008F2C69">
        <w:rPr>
          <w:rFonts w:ascii="Cambria" w:eastAsia="Calibri" w:hAnsi="Cambria"/>
          <w:iCs/>
          <w:sz w:val="22"/>
          <w:lang w:val="es-ES"/>
        </w:rPr>
        <w:t xml:space="preserve"> inscripción en el Registro Estatal de Obligaciones de los Entes Públicos del Estado de Jalisco y ante el Registro Público Único de Financiamiento y Obligaciones de Entidades Federativas y Municipios que tiene a su cargo la Unidad de Coordinación con Entidades Federativas de la Secretaría de Hacienda y Crédito Público.</w:t>
      </w:r>
    </w:p>
    <w:p w:rsidR="008F2C69" w:rsidRDefault="008F2C69" w:rsidP="001F5EAE">
      <w:pPr>
        <w:pStyle w:val="NormalWeb"/>
        <w:spacing w:before="0" w:beforeAutospacing="0" w:after="0" w:afterAutospacing="0" w:line="259" w:lineRule="auto"/>
        <w:jc w:val="both"/>
        <w:rPr>
          <w:rFonts w:ascii="Cambria" w:eastAsia="Calibri" w:hAnsi="Cambria"/>
          <w:b/>
          <w:iCs/>
          <w:sz w:val="22"/>
          <w:szCs w:val="22"/>
          <w:lang w:eastAsia="en-US"/>
        </w:rPr>
      </w:pPr>
    </w:p>
    <w:p w:rsidR="006F5B80" w:rsidRDefault="006F5B80" w:rsidP="001F5EAE">
      <w:pPr>
        <w:pStyle w:val="Cuerpo"/>
        <w:spacing w:after="0" w:line="240" w:lineRule="auto"/>
        <w:jc w:val="center"/>
        <w:rPr>
          <w:rStyle w:val="Ninguno"/>
          <w:rFonts w:ascii="Cambria" w:hAnsi="Cambria"/>
          <w:b/>
          <w:bCs/>
          <w:sz w:val="24"/>
          <w:szCs w:val="24"/>
          <w:lang w:val="es-ES_tradnl"/>
        </w:rPr>
      </w:pPr>
    </w:p>
    <w:p w:rsidR="001F5EAE" w:rsidRDefault="001F5EAE" w:rsidP="001F5EAE">
      <w:pPr>
        <w:pStyle w:val="Cuerpo"/>
        <w:spacing w:after="0" w:line="240" w:lineRule="auto"/>
        <w:jc w:val="center"/>
        <w:rPr>
          <w:rStyle w:val="Ninguno"/>
          <w:rFonts w:ascii="Cambria" w:hAnsi="Cambria"/>
          <w:b/>
          <w:bCs/>
          <w:sz w:val="24"/>
          <w:szCs w:val="24"/>
          <w:lang w:val="es-ES_tradnl"/>
        </w:rPr>
      </w:pPr>
      <w:r>
        <w:rPr>
          <w:rStyle w:val="Ninguno"/>
          <w:rFonts w:ascii="Cambria" w:hAnsi="Cambria"/>
          <w:b/>
          <w:bCs/>
          <w:sz w:val="24"/>
          <w:szCs w:val="24"/>
          <w:lang w:val="es-ES_tradnl"/>
        </w:rPr>
        <w:t>ATENTAMENTE</w:t>
      </w:r>
    </w:p>
    <w:p w:rsidR="006F5B80" w:rsidRPr="000876C6" w:rsidRDefault="006F5B80" w:rsidP="001F5EAE">
      <w:pPr>
        <w:pStyle w:val="Cuerpo"/>
        <w:spacing w:after="0" w:line="240" w:lineRule="auto"/>
        <w:jc w:val="center"/>
        <w:rPr>
          <w:rStyle w:val="Ninguno"/>
          <w:rFonts w:ascii="Cambria" w:eastAsia="Cambria" w:hAnsi="Cambria" w:cs="Cambria"/>
          <w:b/>
          <w:bCs/>
          <w:sz w:val="24"/>
          <w:szCs w:val="24"/>
          <w:lang w:val="es-MX"/>
        </w:rPr>
      </w:pPr>
      <w:r>
        <w:rPr>
          <w:rStyle w:val="Ninguno"/>
          <w:rFonts w:ascii="Cambria" w:hAnsi="Cambria"/>
          <w:b/>
          <w:bCs/>
          <w:lang w:val="es-ES_tradnl"/>
        </w:rPr>
        <w:t>CD. GUZMÁN</w:t>
      </w:r>
      <w:r w:rsidRPr="006F5B80">
        <w:rPr>
          <w:rStyle w:val="Ninguno"/>
          <w:rFonts w:ascii="Cambria" w:hAnsi="Cambria"/>
          <w:b/>
          <w:bCs/>
          <w:lang w:val="es-ES_tradnl"/>
        </w:rPr>
        <w:t>, MUNICIPIO DE ZAPOTLÁN EL GRANDE, JALISCO</w:t>
      </w:r>
      <w:r>
        <w:rPr>
          <w:rStyle w:val="Ninguno"/>
          <w:rFonts w:ascii="Cambria" w:hAnsi="Cambria"/>
          <w:b/>
          <w:bCs/>
          <w:lang w:val="es-ES_tradnl"/>
        </w:rPr>
        <w:t>, A 23 DE JULIO DEL 2020</w:t>
      </w:r>
    </w:p>
    <w:p w:rsidR="001F5EAE" w:rsidRPr="000876C6" w:rsidRDefault="006F5B80" w:rsidP="001F5EAE">
      <w:pPr>
        <w:pStyle w:val="Cuerpo"/>
        <w:spacing w:after="0" w:line="240" w:lineRule="auto"/>
        <w:jc w:val="center"/>
        <w:rPr>
          <w:rStyle w:val="Ninguno"/>
          <w:rFonts w:ascii="Mistral" w:eastAsia="Mistral" w:hAnsi="Mistral" w:cs="Mistral"/>
          <w:i/>
          <w:iCs/>
          <w:sz w:val="18"/>
          <w:szCs w:val="18"/>
          <w:lang w:val="es-MX"/>
        </w:rPr>
      </w:pPr>
      <w:r>
        <w:rPr>
          <w:rStyle w:val="Ninguno"/>
          <w:rFonts w:ascii="Mistral" w:eastAsia="Mistral" w:hAnsi="Mistral" w:cs="Mistral"/>
          <w:i/>
          <w:iCs/>
          <w:sz w:val="18"/>
          <w:szCs w:val="18"/>
          <w:lang w:val="es-ES_tradnl"/>
        </w:rPr>
        <w:t xml:space="preserve"> </w:t>
      </w:r>
      <w:r w:rsidR="001F5EAE">
        <w:rPr>
          <w:rStyle w:val="Ninguno"/>
          <w:rFonts w:ascii="Mistral" w:eastAsia="Mistral" w:hAnsi="Mistral" w:cs="Mistral"/>
          <w:i/>
          <w:iCs/>
          <w:sz w:val="18"/>
          <w:szCs w:val="18"/>
          <w:lang w:val="es-ES_tradnl"/>
        </w:rPr>
        <w:t>“</w:t>
      </w:r>
      <w:r w:rsidR="001F5EAE" w:rsidRPr="000876C6">
        <w:rPr>
          <w:rStyle w:val="Ninguno"/>
          <w:rFonts w:ascii="Mistral" w:eastAsia="Mistral" w:hAnsi="Mistral" w:cs="Mistral"/>
          <w:i/>
          <w:iCs/>
          <w:sz w:val="18"/>
          <w:szCs w:val="18"/>
          <w:lang w:val="es-MX"/>
        </w:rPr>
        <w:t>2020 A</w:t>
      </w:r>
      <w:r w:rsidR="001F5EAE">
        <w:rPr>
          <w:rStyle w:val="Ninguno"/>
          <w:rFonts w:ascii="Mistral" w:eastAsia="Mistral" w:hAnsi="Mistral" w:cs="Mistral"/>
          <w:i/>
          <w:iCs/>
          <w:sz w:val="18"/>
          <w:szCs w:val="18"/>
          <w:lang w:val="es-ES_tradnl"/>
        </w:rPr>
        <w:t xml:space="preserve">ÑO DEL 150 ANIVERSARIO DEL NATALICIO DEL CIENTÍFICO JOSÉ </w:t>
      </w:r>
      <w:r w:rsidR="001F5EAE">
        <w:rPr>
          <w:rStyle w:val="Ninguno"/>
          <w:rFonts w:ascii="Mistral" w:eastAsia="Mistral" w:hAnsi="Mistral" w:cs="Mistral"/>
          <w:i/>
          <w:iCs/>
          <w:sz w:val="18"/>
          <w:szCs w:val="18"/>
          <w:lang w:val="de-DE"/>
        </w:rPr>
        <w:t>MAR</w:t>
      </w:r>
      <w:r w:rsidR="001F5EAE">
        <w:rPr>
          <w:rStyle w:val="Ninguno"/>
          <w:rFonts w:ascii="Mistral" w:eastAsia="Mistral" w:hAnsi="Mistral" w:cs="Mistral"/>
          <w:i/>
          <w:iCs/>
          <w:sz w:val="18"/>
          <w:szCs w:val="18"/>
          <w:lang w:val="es-ES_tradnl"/>
        </w:rPr>
        <w:t>ÍA ARREOLA MENDOZA”</w:t>
      </w:r>
    </w:p>
    <w:p w:rsidR="001F5EAE" w:rsidRPr="000876C6" w:rsidRDefault="001F5EAE" w:rsidP="001F5EAE">
      <w:pPr>
        <w:pStyle w:val="Cuerpo"/>
        <w:spacing w:after="0" w:line="240" w:lineRule="auto"/>
        <w:jc w:val="center"/>
        <w:rPr>
          <w:rStyle w:val="Ninguno"/>
          <w:rFonts w:ascii="Bradley Hand ITC" w:eastAsia="Bradley Hand ITC" w:hAnsi="Bradley Hand ITC" w:cs="Bradley Hand ITC"/>
          <w:b/>
          <w:bCs/>
          <w:i/>
          <w:iCs/>
          <w:lang w:val="es-MX"/>
        </w:rPr>
      </w:pPr>
      <w:r>
        <w:rPr>
          <w:rStyle w:val="Ninguno"/>
          <w:rFonts w:ascii="Bradley Hand ITC" w:eastAsia="Bradley Hand ITC" w:hAnsi="Bradley Hand ITC" w:cs="Bradley Hand ITC"/>
          <w:b/>
          <w:bCs/>
          <w:i/>
          <w:iCs/>
          <w:lang w:val="es-ES_tradnl"/>
        </w:rPr>
        <w:t xml:space="preserve"> ““</w:t>
      </w:r>
      <w:r w:rsidRPr="000876C6">
        <w:rPr>
          <w:rStyle w:val="Ninguno"/>
          <w:rFonts w:ascii="Bradley Hand ITC" w:eastAsia="Bradley Hand ITC" w:hAnsi="Bradley Hand ITC" w:cs="Bradley Hand ITC"/>
          <w:b/>
          <w:bCs/>
          <w:i/>
          <w:iCs/>
          <w:lang w:val="es-MX"/>
        </w:rPr>
        <w:t>2020 A</w:t>
      </w:r>
      <w:r>
        <w:rPr>
          <w:rStyle w:val="Ninguno"/>
          <w:rFonts w:ascii="Bradley Hand ITC" w:eastAsia="Bradley Hand ITC" w:hAnsi="Bradley Hand ITC" w:cs="Bradley Hand ITC"/>
          <w:b/>
          <w:bCs/>
          <w:i/>
          <w:iCs/>
          <w:lang w:val="es-ES_tradnl"/>
        </w:rPr>
        <w:t>ÑO MUNICIPAL DE LAS ENFERMERAS”</w:t>
      </w:r>
    </w:p>
    <w:p w:rsidR="00973503" w:rsidRDefault="00973503" w:rsidP="001F5EAE">
      <w:pPr>
        <w:spacing w:after="0"/>
        <w:rPr>
          <w:rFonts w:ascii="Bradley Hand ITC" w:eastAsia="Times New Roman" w:hAnsi="Bradley Hand ITC" w:cs="Arabic Typesetting"/>
          <w:b/>
          <w:i/>
          <w:sz w:val="20"/>
          <w:szCs w:val="24"/>
          <w:lang w:val="es-AR" w:eastAsia="es-ES"/>
        </w:rPr>
      </w:pPr>
    </w:p>
    <w:p w:rsidR="00D022CF" w:rsidRPr="00250171" w:rsidRDefault="00D022CF" w:rsidP="001F5EAE">
      <w:pPr>
        <w:spacing w:after="0"/>
        <w:rPr>
          <w:rFonts w:ascii="Cambria" w:eastAsia="Calibri" w:hAnsi="Cambria" w:cs="Times New Roman"/>
          <w:b/>
          <w:sz w:val="18"/>
          <w:szCs w:val="24"/>
        </w:rPr>
      </w:pPr>
    </w:p>
    <w:p w:rsidR="00ED66F0" w:rsidRPr="00250171" w:rsidRDefault="00ED66F0" w:rsidP="001F5EAE">
      <w:pPr>
        <w:spacing w:after="0"/>
        <w:rPr>
          <w:rFonts w:ascii="Cambria" w:eastAsia="Calibri" w:hAnsi="Cambria" w:cs="Times New Roman"/>
          <w:b/>
          <w:sz w:val="18"/>
          <w:szCs w:val="24"/>
        </w:rPr>
      </w:pPr>
    </w:p>
    <w:p w:rsidR="009101B6" w:rsidRPr="00250171" w:rsidRDefault="009101B6" w:rsidP="001F5EAE">
      <w:pPr>
        <w:spacing w:after="0"/>
        <w:jc w:val="center"/>
        <w:rPr>
          <w:rFonts w:ascii="Cambria" w:eastAsia="Calibri" w:hAnsi="Cambria" w:cs="Times New Roman"/>
          <w:sz w:val="21"/>
          <w:szCs w:val="21"/>
        </w:rPr>
      </w:pPr>
      <w:r w:rsidRPr="00250171">
        <w:rPr>
          <w:rFonts w:ascii="Cambria" w:eastAsia="Calibri" w:hAnsi="Cambria" w:cs="Times New Roman"/>
          <w:b/>
          <w:sz w:val="21"/>
          <w:szCs w:val="21"/>
        </w:rPr>
        <w:t>LIC. LAURA ELENA MARTÍNEZ RUVALCABA</w:t>
      </w:r>
      <w:r w:rsidRPr="00250171">
        <w:rPr>
          <w:rFonts w:ascii="Cambria" w:eastAsia="Calibri" w:hAnsi="Cambria" w:cs="Times New Roman"/>
          <w:sz w:val="21"/>
          <w:szCs w:val="21"/>
        </w:rPr>
        <w:t xml:space="preserve"> </w:t>
      </w:r>
    </w:p>
    <w:p w:rsidR="009101B6" w:rsidRPr="00250171" w:rsidRDefault="00973503" w:rsidP="001F5EAE">
      <w:pPr>
        <w:spacing w:after="0"/>
        <w:jc w:val="center"/>
        <w:rPr>
          <w:rFonts w:ascii="Cambria" w:eastAsia="Calibri" w:hAnsi="Cambria" w:cs="Times New Roman"/>
          <w:sz w:val="21"/>
          <w:szCs w:val="21"/>
          <w:lang w:val="es-AR"/>
        </w:rPr>
      </w:pPr>
      <w:r w:rsidRPr="00250171">
        <w:rPr>
          <w:rFonts w:ascii="Cambria" w:eastAsia="Calibri" w:hAnsi="Cambria" w:cs="Times New Roman"/>
          <w:sz w:val="21"/>
          <w:szCs w:val="21"/>
        </w:rPr>
        <w:t>Regidor Presidente</w:t>
      </w:r>
      <w:r w:rsidRPr="00250171">
        <w:rPr>
          <w:rFonts w:ascii="Cambria" w:eastAsia="Calibri" w:hAnsi="Cambria" w:cs="Times New Roman"/>
          <w:sz w:val="21"/>
          <w:szCs w:val="21"/>
          <w:lang w:val="es-AR"/>
        </w:rPr>
        <w:t xml:space="preserve"> de la Comisión de </w:t>
      </w:r>
      <w:r w:rsidR="009101B6" w:rsidRPr="00250171">
        <w:rPr>
          <w:rFonts w:ascii="Cambria" w:eastAsia="Calibri" w:hAnsi="Cambria" w:cs="Times New Roman"/>
          <w:sz w:val="21"/>
          <w:szCs w:val="21"/>
          <w:lang w:val="es-AR"/>
        </w:rPr>
        <w:t xml:space="preserve">Hacienda Pública </w:t>
      </w:r>
    </w:p>
    <w:p w:rsidR="00973503" w:rsidRPr="00250171" w:rsidRDefault="009101B6" w:rsidP="001F5EAE">
      <w:pPr>
        <w:spacing w:after="0"/>
        <w:jc w:val="center"/>
        <w:rPr>
          <w:rFonts w:ascii="Cambria" w:eastAsia="Calibri" w:hAnsi="Cambria" w:cs="Times New Roman"/>
          <w:sz w:val="21"/>
          <w:szCs w:val="21"/>
          <w:lang w:val="es-AR"/>
        </w:rPr>
      </w:pPr>
      <w:r w:rsidRPr="00250171">
        <w:rPr>
          <w:rFonts w:ascii="Cambria" w:eastAsia="Calibri" w:hAnsi="Cambria" w:cs="Times New Roman"/>
          <w:sz w:val="21"/>
          <w:szCs w:val="21"/>
          <w:lang w:val="es-AR"/>
        </w:rPr>
        <w:t xml:space="preserve">y de Patrimonio Municipal </w:t>
      </w:r>
    </w:p>
    <w:p w:rsidR="00943166" w:rsidRPr="00250171" w:rsidRDefault="00943166" w:rsidP="001F5EAE">
      <w:pPr>
        <w:spacing w:after="0"/>
        <w:jc w:val="center"/>
        <w:rPr>
          <w:rFonts w:ascii="Cambria" w:eastAsia="Calibri" w:hAnsi="Cambria" w:cs="Times New Roman"/>
          <w:sz w:val="21"/>
          <w:szCs w:val="21"/>
          <w:lang w:val="es-AR"/>
        </w:rPr>
      </w:pPr>
    </w:p>
    <w:p w:rsidR="00943166" w:rsidRPr="00250171" w:rsidRDefault="00943166" w:rsidP="001F5EAE">
      <w:pPr>
        <w:spacing w:after="0"/>
        <w:jc w:val="center"/>
        <w:rPr>
          <w:rFonts w:ascii="Cambria" w:eastAsia="Calibri" w:hAnsi="Cambria" w:cs="Times New Roman"/>
          <w:sz w:val="21"/>
          <w:szCs w:val="21"/>
          <w:lang w:val="es-AR"/>
        </w:rPr>
      </w:pPr>
    </w:p>
    <w:p w:rsidR="00F4025F" w:rsidRPr="00250171" w:rsidRDefault="00F4025F" w:rsidP="001F5EAE">
      <w:pPr>
        <w:spacing w:after="0"/>
        <w:jc w:val="center"/>
        <w:rPr>
          <w:rFonts w:ascii="Cambria" w:eastAsia="Calibri" w:hAnsi="Cambria" w:cs="Times New Roman"/>
          <w:sz w:val="21"/>
          <w:szCs w:val="21"/>
          <w:lang w:val="es-AR"/>
        </w:rPr>
      </w:pPr>
    </w:p>
    <w:p w:rsidR="00F4025F" w:rsidRPr="00250171" w:rsidRDefault="00F4025F" w:rsidP="001F5EAE">
      <w:pPr>
        <w:spacing w:after="0"/>
        <w:jc w:val="center"/>
        <w:rPr>
          <w:rFonts w:ascii="Cambria" w:eastAsia="Calibri" w:hAnsi="Cambria" w:cs="Times New Roman"/>
          <w:sz w:val="21"/>
          <w:szCs w:val="21"/>
          <w:lang w:val="es-AR"/>
        </w:rPr>
      </w:pPr>
    </w:p>
    <w:p w:rsidR="00943166" w:rsidRPr="00250171" w:rsidRDefault="00943166" w:rsidP="001F5EAE">
      <w:pPr>
        <w:spacing w:after="0"/>
        <w:jc w:val="center"/>
        <w:rPr>
          <w:rFonts w:ascii="Cambria" w:eastAsia="Calibri" w:hAnsi="Cambria" w:cs="Times New Roman"/>
          <w:b/>
          <w:sz w:val="21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90"/>
        <w:gridCol w:w="4548"/>
      </w:tblGrid>
      <w:tr w:rsidR="00973503" w:rsidRPr="00250171" w:rsidTr="00600B5F">
        <w:trPr>
          <w:trHeight w:val="2492"/>
        </w:trPr>
        <w:tc>
          <w:tcPr>
            <w:tcW w:w="4389" w:type="dxa"/>
          </w:tcPr>
          <w:p w:rsidR="003C564D" w:rsidRPr="00250171" w:rsidRDefault="009101B6" w:rsidP="001F5EAE">
            <w:pPr>
              <w:spacing w:after="0"/>
              <w:jc w:val="center"/>
              <w:rPr>
                <w:rFonts w:ascii="Cambria" w:eastAsia="Calibri" w:hAnsi="Cambria" w:cs="Times New Roman"/>
                <w:b/>
                <w:sz w:val="21"/>
                <w:szCs w:val="21"/>
              </w:rPr>
            </w:pPr>
            <w:r w:rsidRPr="00250171">
              <w:rPr>
                <w:rFonts w:ascii="Cambria" w:eastAsia="Calibri" w:hAnsi="Cambria" w:cs="Times New Roman"/>
                <w:b/>
                <w:sz w:val="21"/>
                <w:szCs w:val="21"/>
              </w:rPr>
              <w:t>MTRA. CINDY ESTEFANY GARCÍA OROZCO</w:t>
            </w:r>
          </w:p>
          <w:p w:rsidR="009101B6" w:rsidRPr="00250171" w:rsidRDefault="00973503" w:rsidP="001F5EAE">
            <w:pPr>
              <w:spacing w:after="0"/>
              <w:jc w:val="center"/>
              <w:rPr>
                <w:rFonts w:ascii="Cambria" w:eastAsia="Calibri" w:hAnsi="Cambria" w:cs="Times New Roman"/>
                <w:b/>
                <w:sz w:val="21"/>
                <w:szCs w:val="21"/>
              </w:rPr>
            </w:pPr>
            <w:r w:rsidRPr="00250171">
              <w:rPr>
                <w:rFonts w:ascii="Cambria" w:eastAsia="Calibri" w:hAnsi="Cambria" w:cs="Times New Roman"/>
                <w:sz w:val="21"/>
                <w:szCs w:val="21"/>
              </w:rPr>
              <w:t xml:space="preserve">Regidor Vocal de la Comisión Edilicia </w:t>
            </w:r>
            <w:r w:rsidR="009101B6" w:rsidRPr="00250171">
              <w:rPr>
                <w:rFonts w:ascii="Cambria" w:eastAsia="Calibri" w:hAnsi="Cambria" w:cs="Times New Roman"/>
                <w:sz w:val="21"/>
                <w:szCs w:val="21"/>
                <w:lang w:val="es-AR"/>
              </w:rPr>
              <w:t xml:space="preserve">de Hacienda Pública y de Patrimonio Municipal </w:t>
            </w:r>
          </w:p>
          <w:p w:rsidR="00600B5F" w:rsidRPr="00250171" w:rsidRDefault="00600B5F" w:rsidP="001F5EAE">
            <w:pPr>
              <w:spacing w:after="0"/>
              <w:jc w:val="center"/>
              <w:rPr>
                <w:rFonts w:ascii="Cambria" w:eastAsia="Calibri" w:hAnsi="Cambria" w:cs="Times New Roman"/>
                <w:sz w:val="21"/>
                <w:szCs w:val="21"/>
              </w:rPr>
            </w:pPr>
          </w:p>
          <w:p w:rsidR="00600B5F" w:rsidRPr="00250171" w:rsidRDefault="00600B5F" w:rsidP="001F5EAE">
            <w:pPr>
              <w:spacing w:after="0"/>
              <w:jc w:val="center"/>
              <w:rPr>
                <w:rFonts w:ascii="Cambria" w:eastAsia="Calibri" w:hAnsi="Cambria" w:cs="Times New Roman"/>
                <w:sz w:val="21"/>
                <w:szCs w:val="21"/>
              </w:rPr>
            </w:pPr>
          </w:p>
          <w:p w:rsidR="00D77BD5" w:rsidRPr="00250171" w:rsidRDefault="00D77BD5" w:rsidP="001F5EAE">
            <w:pPr>
              <w:spacing w:after="0"/>
              <w:jc w:val="center"/>
              <w:rPr>
                <w:rFonts w:ascii="Cambria" w:eastAsia="Calibri" w:hAnsi="Cambria" w:cs="Times New Roman"/>
                <w:sz w:val="21"/>
                <w:szCs w:val="21"/>
              </w:rPr>
            </w:pPr>
          </w:p>
          <w:p w:rsidR="00D77BD5" w:rsidRPr="00250171" w:rsidRDefault="00D77BD5" w:rsidP="001F5EAE">
            <w:pPr>
              <w:spacing w:after="0"/>
              <w:jc w:val="center"/>
              <w:rPr>
                <w:rFonts w:ascii="Cambria" w:eastAsia="Calibri" w:hAnsi="Cambria" w:cs="Times New Roman"/>
                <w:sz w:val="21"/>
                <w:szCs w:val="21"/>
              </w:rPr>
            </w:pPr>
          </w:p>
          <w:p w:rsidR="00600B5F" w:rsidRPr="00250171" w:rsidRDefault="00600B5F" w:rsidP="001F5EAE">
            <w:pPr>
              <w:spacing w:after="0"/>
              <w:jc w:val="center"/>
              <w:rPr>
                <w:rFonts w:ascii="Cambria" w:eastAsia="Calibri" w:hAnsi="Cambria" w:cs="Times New Roman"/>
                <w:sz w:val="21"/>
                <w:szCs w:val="21"/>
              </w:rPr>
            </w:pPr>
          </w:p>
          <w:p w:rsidR="003C564D" w:rsidRPr="00A16723" w:rsidRDefault="009101B6" w:rsidP="001F5EAE">
            <w:pPr>
              <w:spacing w:after="0"/>
              <w:jc w:val="center"/>
              <w:rPr>
                <w:rFonts w:ascii="Cambria" w:eastAsia="Calibri" w:hAnsi="Cambria" w:cs="Times New Roman"/>
                <w:b/>
                <w:sz w:val="20"/>
                <w:szCs w:val="21"/>
              </w:rPr>
            </w:pPr>
            <w:r w:rsidRPr="00A16723">
              <w:rPr>
                <w:rFonts w:ascii="Cambria" w:eastAsia="Calibri" w:hAnsi="Cambria" w:cs="Times New Roman"/>
                <w:b/>
                <w:sz w:val="20"/>
                <w:szCs w:val="21"/>
              </w:rPr>
              <w:t xml:space="preserve">LIC. TANIA MAGDALENA BERNARDINO JUÁREZ </w:t>
            </w:r>
          </w:p>
          <w:p w:rsidR="00973503" w:rsidRPr="00250171" w:rsidRDefault="009101B6" w:rsidP="001F5EAE">
            <w:pPr>
              <w:spacing w:after="0"/>
              <w:jc w:val="center"/>
              <w:rPr>
                <w:rFonts w:ascii="Cambria" w:eastAsia="Calibri" w:hAnsi="Cambria" w:cs="Times New Roman"/>
                <w:b/>
                <w:sz w:val="21"/>
                <w:szCs w:val="21"/>
                <w:lang w:val="es-AR"/>
              </w:rPr>
            </w:pPr>
            <w:r w:rsidRPr="00250171">
              <w:rPr>
                <w:rFonts w:ascii="Cambria" w:eastAsia="Calibri" w:hAnsi="Cambria" w:cs="Times New Roman"/>
                <w:sz w:val="21"/>
                <w:szCs w:val="21"/>
              </w:rPr>
              <w:t xml:space="preserve">Regidor Vocal de la Comisión Edilicia </w:t>
            </w:r>
            <w:r w:rsidRPr="00250171">
              <w:rPr>
                <w:rFonts w:ascii="Cambria" w:eastAsia="Calibri" w:hAnsi="Cambria" w:cs="Times New Roman"/>
                <w:sz w:val="21"/>
                <w:szCs w:val="21"/>
                <w:lang w:val="es-AR"/>
              </w:rPr>
              <w:t>de Hacienda Pública y de Patrimonio Municipal</w:t>
            </w:r>
          </w:p>
        </w:tc>
        <w:tc>
          <w:tcPr>
            <w:tcW w:w="4665" w:type="dxa"/>
          </w:tcPr>
          <w:p w:rsidR="003C564D" w:rsidRPr="00250171" w:rsidRDefault="00AF6DD5" w:rsidP="001F5EAE">
            <w:pPr>
              <w:spacing w:after="0"/>
              <w:jc w:val="center"/>
              <w:rPr>
                <w:rFonts w:ascii="Cambria" w:eastAsia="Calibri" w:hAnsi="Cambria" w:cs="Times New Roman"/>
                <w:b/>
                <w:sz w:val="21"/>
                <w:szCs w:val="21"/>
              </w:rPr>
            </w:pPr>
            <w:r w:rsidRPr="00250171">
              <w:rPr>
                <w:rFonts w:ascii="Cambria" w:eastAsia="Calibri" w:hAnsi="Cambria" w:cs="Times New Roman"/>
                <w:b/>
                <w:sz w:val="21"/>
                <w:szCs w:val="21"/>
              </w:rPr>
              <w:t xml:space="preserve">       </w:t>
            </w:r>
            <w:r w:rsidR="009101B6" w:rsidRPr="00250171">
              <w:rPr>
                <w:rFonts w:ascii="Cambria" w:eastAsia="Calibri" w:hAnsi="Cambria" w:cs="Times New Roman"/>
                <w:b/>
                <w:sz w:val="21"/>
                <w:szCs w:val="21"/>
              </w:rPr>
              <w:t xml:space="preserve">LIC MANUEL DE JESÚS JIMENEZ GARMA </w:t>
            </w:r>
          </w:p>
          <w:p w:rsidR="009101B6" w:rsidRPr="00250171" w:rsidRDefault="00600B5F" w:rsidP="001F5EAE">
            <w:pPr>
              <w:spacing w:after="0"/>
              <w:jc w:val="center"/>
              <w:rPr>
                <w:rFonts w:ascii="Cambria" w:eastAsia="Calibri" w:hAnsi="Cambria" w:cs="Times New Roman"/>
                <w:b/>
                <w:sz w:val="21"/>
                <w:szCs w:val="21"/>
              </w:rPr>
            </w:pPr>
            <w:r w:rsidRPr="00250171">
              <w:rPr>
                <w:rFonts w:ascii="Cambria" w:eastAsia="Calibri" w:hAnsi="Cambria" w:cs="Times New Roman"/>
                <w:sz w:val="21"/>
                <w:szCs w:val="21"/>
              </w:rPr>
              <w:t xml:space="preserve">Regidor Vocal de la Comisión Edilicia </w:t>
            </w:r>
            <w:r w:rsidR="009101B6" w:rsidRPr="00250171">
              <w:rPr>
                <w:rFonts w:ascii="Cambria" w:eastAsia="Calibri" w:hAnsi="Cambria" w:cs="Times New Roman"/>
                <w:sz w:val="21"/>
                <w:szCs w:val="21"/>
                <w:lang w:val="es-AR"/>
              </w:rPr>
              <w:t xml:space="preserve">de Hacienda Pública y de Patrimonio Municipal </w:t>
            </w:r>
          </w:p>
          <w:p w:rsidR="00600B5F" w:rsidRPr="00250171" w:rsidRDefault="00600B5F" w:rsidP="001F5EAE">
            <w:pPr>
              <w:spacing w:after="0"/>
              <w:jc w:val="center"/>
              <w:rPr>
                <w:rFonts w:ascii="Cambria" w:eastAsia="Calibri" w:hAnsi="Cambria" w:cs="Times New Roman"/>
                <w:b/>
                <w:sz w:val="21"/>
                <w:szCs w:val="21"/>
              </w:rPr>
            </w:pPr>
          </w:p>
          <w:p w:rsidR="009101B6" w:rsidRPr="00250171" w:rsidRDefault="009101B6" w:rsidP="001F5EAE">
            <w:pPr>
              <w:spacing w:after="0"/>
              <w:jc w:val="center"/>
              <w:rPr>
                <w:rFonts w:ascii="Cambria" w:eastAsia="Calibri" w:hAnsi="Cambria" w:cs="Times New Roman"/>
                <w:b/>
                <w:sz w:val="21"/>
                <w:szCs w:val="21"/>
              </w:rPr>
            </w:pPr>
          </w:p>
          <w:p w:rsidR="003C564D" w:rsidRPr="00250171" w:rsidRDefault="003C564D" w:rsidP="001F5EAE">
            <w:pPr>
              <w:spacing w:after="0"/>
              <w:jc w:val="center"/>
              <w:rPr>
                <w:rFonts w:ascii="Cambria" w:eastAsia="Calibri" w:hAnsi="Cambria" w:cs="Times New Roman"/>
                <w:b/>
                <w:sz w:val="21"/>
                <w:szCs w:val="21"/>
              </w:rPr>
            </w:pPr>
          </w:p>
          <w:p w:rsidR="00D77BD5" w:rsidRPr="00250171" w:rsidRDefault="00D77BD5" w:rsidP="001F5EAE">
            <w:pPr>
              <w:spacing w:after="0"/>
              <w:jc w:val="center"/>
              <w:rPr>
                <w:rFonts w:ascii="Cambria" w:eastAsia="Calibri" w:hAnsi="Cambria" w:cs="Times New Roman"/>
                <w:b/>
                <w:sz w:val="21"/>
                <w:szCs w:val="21"/>
              </w:rPr>
            </w:pPr>
          </w:p>
          <w:p w:rsidR="00D77BD5" w:rsidRPr="00250171" w:rsidRDefault="00D77BD5" w:rsidP="001F5EAE">
            <w:pPr>
              <w:spacing w:after="0"/>
              <w:jc w:val="center"/>
              <w:rPr>
                <w:rFonts w:ascii="Cambria" w:eastAsia="Calibri" w:hAnsi="Cambria" w:cs="Times New Roman"/>
                <w:b/>
                <w:sz w:val="21"/>
                <w:szCs w:val="21"/>
              </w:rPr>
            </w:pPr>
          </w:p>
          <w:p w:rsidR="00973503" w:rsidRPr="00250171" w:rsidRDefault="003C564D" w:rsidP="001F5EAE">
            <w:pPr>
              <w:spacing w:after="0"/>
              <w:jc w:val="center"/>
              <w:rPr>
                <w:rFonts w:ascii="Cambria" w:eastAsia="Calibri" w:hAnsi="Cambria" w:cs="Times New Roman"/>
                <w:sz w:val="21"/>
                <w:szCs w:val="21"/>
              </w:rPr>
            </w:pPr>
            <w:r w:rsidRPr="00250171">
              <w:rPr>
                <w:rFonts w:ascii="Cambria" w:eastAsia="Calibri" w:hAnsi="Cambria" w:cs="Times New Roman"/>
                <w:b/>
                <w:sz w:val="21"/>
                <w:szCs w:val="21"/>
              </w:rPr>
              <w:t>MTRO</w:t>
            </w:r>
            <w:r w:rsidR="00600B5F" w:rsidRPr="00250171">
              <w:rPr>
                <w:rFonts w:ascii="Cambria" w:eastAsia="Calibri" w:hAnsi="Cambria" w:cs="Times New Roman"/>
                <w:b/>
                <w:sz w:val="21"/>
                <w:szCs w:val="21"/>
              </w:rPr>
              <w:t>. NOE SAUL RAMOS GARCÍA</w:t>
            </w:r>
            <w:r w:rsidR="00543ABF" w:rsidRPr="00250171">
              <w:rPr>
                <w:rFonts w:ascii="Cambria" w:eastAsia="Calibri" w:hAnsi="Cambria" w:cs="Times New Roman"/>
                <w:b/>
                <w:sz w:val="21"/>
                <w:szCs w:val="21"/>
              </w:rPr>
              <w:t xml:space="preserve">                             </w:t>
            </w:r>
            <w:r w:rsidR="009101B6" w:rsidRPr="00250171">
              <w:rPr>
                <w:rFonts w:ascii="Cambria" w:eastAsia="Calibri" w:hAnsi="Cambria" w:cs="Times New Roman"/>
                <w:sz w:val="21"/>
                <w:szCs w:val="21"/>
              </w:rPr>
              <w:t xml:space="preserve">Regidor Vocal de la Comisión Edilicia </w:t>
            </w:r>
            <w:r w:rsidR="009101B6" w:rsidRPr="00250171">
              <w:rPr>
                <w:rFonts w:ascii="Cambria" w:eastAsia="Calibri" w:hAnsi="Cambria" w:cs="Times New Roman"/>
                <w:sz w:val="21"/>
                <w:szCs w:val="21"/>
                <w:lang w:val="es-AR"/>
              </w:rPr>
              <w:t>de Hacienda Pública y de Patrimonio Municipal</w:t>
            </w:r>
          </w:p>
        </w:tc>
      </w:tr>
    </w:tbl>
    <w:p w:rsidR="00C523D1" w:rsidRDefault="00C523D1" w:rsidP="00250171">
      <w:pPr>
        <w:spacing w:after="0"/>
        <w:rPr>
          <w:sz w:val="21"/>
          <w:szCs w:val="21"/>
        </w:rPr>
      </w:pPr>
    </w:p>
    <w:p w:rsidR="00AF34C1" w:rsidRDefault="00AF34C1" w:rsidP="00250171">
      <w:pPr>
        <w:spacing w:after="0"/>
        <w:rPr>
          <w:sz w:val="21"/>
          <w:szCs w:val="21"/>
        </w:rPr>
      </w:pPr>
    </w:p>
    <w:p w:rsidR="00AF34C1" w:rsidRDefault="00AF34C1" w:rsidP="00250171">
      <w:pPr>
        <w:spacing w:after="0"/>
        <w:rPr>
          <w:sz w:val="21"/>
          <w:szCs w:val="21"/>
        </w:rPr>
      </w:pPr>
    </w:p>
    <w:p w:rsidR="00AF34C1" w:rsidRDefault="00AF34C1" w:rsidP="00250171">
      <w:pPr>
        <w:spacing w:after="0"/>
        <w:rPr>
          <w:sz w:val="21"/>
          <w:szCs w:val="21"/>
        </w:rPr>
      </w:pPr>
    </w:p>
    <w:p w:rsidR="00AF34C1" w:rsidRDefault="00AF34C1" w:rsidP="00250171">
      <w:pPr>
        <w:spacing w:after="0"/>
        <w:rPr>
          <w:sz w:val="21"/>
          <w:szCs w:val="21"/>
        </w:rPr>
      </w:pPr>
    </w:p>
    <w:p w:rsidR="00AF34C1" w:rsidRDefault="00AF34C1" w:rsidP="00250171">
      <w:pPr>
        <w:spacing w:after="0"/>
        <w:rPr>
          <w:sz w:val="21"/>
          <w:szCs w:val="21"/>
        </w:rPr>
      </w:pPr>
    </w:p>
    <w:p w:rsidR="00AF34C1" w:rsidRDefault="00AF34C1" w:rsidP="00250171">
      <w:pPr>
        <w:spacing w:after="0"/>
        <w:rPr>
          <w:sz w:val="21"/>
          <w:szCs w:val="21"/>
        </w:rPr>
      </w:pPr>
    </w:p>
    <w:p w:rsidR="00AF34C1" w:rsidRDefault="00AF34C1" w:rsidP="00250171">
      <w:pPr>
        <w:spacing w:after="0"/>
        <w:rPr>
          <w:sz w:val="21"/>
          <w:szCs w:val="21"/>
        </w:rPr>
      </w:pPr>
    </w:p>
    <w:p w:rsidR="00AF34C1" w:rsidRDefault="00AF34C1" w:rsidP="00250171">
      <w:pPr>
        <w:spacing w:after="0"/>
        <w:rPr>
          <w:rFonts w:ascii="Cambria" w:eastAsia="Calibri" w:hAnsi="Cambria" w:cs="Times New Roman"/>
          <w:sz w:val="16"/>
        </w:rPr>
      </w:pPr>
    </w:p>
    <w:p w:rsidR="00AF34C1" w:rsidRDefault="00AF34C1" w:rsidP="00250171">
      <w:pPr>
        <w:spacing w:after="0"/>
        <w:rPr>
          <w:rFonts w:ascii="Cambria" w:eastAsia="Calibri" w:hAnsi="Cambria" w:cs="Times New Roman"/>
          <w:sz w:val="16"/>
        </w:rPr>
      </w:pPr>
    </w:p>
    <w:p w:rsidR="00AF34C1" w:rsidRDefault="00AF34C1" w:rsidP="00250171">
      <w:pPr>
        <w:spacing w:after="0"/>
        <w:rPr>
          <w:rFonts w:ascii="Cambria" w:eastAsia="Calibri" w:hAnsi="Cambria" w:cs="Times New Roman"/>
          <w:sz w:val="16"/>
        </w:rPr>
      </w:pPr>
    </w:p>
    <w:p w:rsidR="00AF34C1" w:rsidRDefault="00AF34C1" w:rsidP="00250171">
      <w:pPr>
        <w:spacing w:after="0"/>
        <w:rPr>
          <w:rFonts w:ascii="Cambria" w:eastAsia="Calibri" w:hAnsi="Cambria" w:cs="Times New Roman"/>
          <w:sz w:val="16"/>
        </w:rPr>
      </w:pPr>
    </w:p>
    <w:p w:rsidR="00A04825" w:rsidRDefault="00A04825" w:rsidP="00250171">
      <w:pPr>
        <w:spacing w:after="0"/>
        <w:rPr>
          <w:rFonts w:ascii="Cambria" w:eastAsia="Calibri" w:hAnsi="Cambria" w:cs="Times New Roman"/>
          <w:sz w:val="16"/>
        </w:rPr>
      </w:pPr>
    </w:p>
    <w:p w:rsidR="00A04825" w:rsidRDefault="00A04825" w:rsidP="00250171">
      <w:pPr>
        <w:spacing w:after="0"/>
        <w:rPr>
          <w:rFonts w:ascii="Cambria" w:eastAsia="Calibri" w:hAnsi="Cambria" w:cs="Times New Roman"/>
          <w:sz w:val="16"/>
        </w:rPr>
      </w:pPr>
    </w:p>
    <w:p w:rsidR="00A04825" w:rsidRDefault="00A04825" w:rsidP="00250171">
      <w:pPr>
        <w:spacing w:after="0"/>
        <w:rPr>
          <w:rFonts w:ascii="Cambria" w:eastAsia="Calibri" w:hAnsi="Cambria" w:cs="Times New Roman"/>
          <w:sz w:val="14"/>
        </w:rPr>
      </w:pPr>
    </w:p>
    <w:p w:rsidR="00AF34C1" w:rsidRPr="00A04825" w:rsidRDefault="00AF34C1" w:rsidP="00250171">
      <w:pPr>
        <w:spacing w:after="0"/>
        <w:rPr>
          <w:sz w:val="14"/>
          <w:szCs w:val="21"/>
        </w:rPr>
      </w:pPr>
      <w:r w:rsidRPr="00A04825">
        <w:rPr>
          <w:rFonts w:ascii="Cambria" w:eastAsia="Calibri" w:hAnsi="Cambria" w:cs="Times New Roman"/>
          <w:sz w:val="14"/>
        </w:rPr>
        <w:t xml:space="preserve">Esta hoja de firmas corresponde al </w:t>
      </w:r>
      <w:r w:rsidRPr="00A04825">
        <w:rPr>
          <w:rFonts w:ascii="Cambria" w:eastAsia="Calibri" w:hAnsi="Cambria" w:cs="Times New Roman"/>
          <w:b/>
          <w:sz w:val="14"/>
        </w:rPr>
        <w:t xml:space="preserve">DICTAMEN QUE PROPONE AUTORIZACION PARA LA REESTRUCTURA DE CRÉDITO  CONTRATADO CON EL </w:t>
      </w:r>
      <w:r w:rsidRPr="00A04825">
        <w:rPr>
          <w:rFonts w:ascii="Cambria" w:eastAsia="Calibri" w:hAnsi="Cambria" w:cs="Times New Roman"/>
          <w:b/>
          <w:bCs/>
          <w:sz w:val="14"/>
        </w:rPr>
        <w:t>BANCO NACIONAL DE OBRAS Y SERVICIOS PÚBLICOS, S. N. C., INSTITUCIÓN DE BANCA DE DESARROLLO</w:t>
      </w:r>
      <w:r w:rsidRPr="00A04825">
        <w:rPr>
          <w:rFonts w:ascii="Cambria" w:eastAsia="Calibri" w:hAnsi="Cambria" w:cs="Times New Roman"/>
          <w:b/>
          <w:sz w:val="14"/>
        </w:rPr>
        <w:t xml:space="preserve">, </w:t>
      </w:r>
      <w:r w:rsidRPr="00A04825">
        <w:rPr>
          <w:rFonts w:ascii="Cambria" w:eastAsia="Calibri" w:hAnsi="Cambria" w:cs="Times New Roman"/>
          <w:b/>
          <w:sz w:val="14"/>
          <w:lang w:val="es-ES"/>
        </w:rPr>
        <w:t>CON LA FINALIDAD DE DISMINUIR LA TASA DE INTERÉS APLICABLE AL CRÉDITO Y REDUCIR LOS PORCENTAJES DEL FONDO  GENERAL DE PARTICIPACIONES (FGP) Y DEL FONDO DE FOMENTO MUNICIPAL (FFM) QUE SE ENCUENTRAN AFECTADOS COMO FUENTE DE PAGO DEL CRÉDITO</w:t>
      </w:r>
      <w:r w:rsidRPr="00A04825">
        <w:rPr>
          <w:rFonts w:ascii="Cambria" w:eastAsia="Calibri" w:hAnsi="Cambria" w:cs="Times New Roman"/>
          <w:b/>
          <w:sz w:val="14"/>
          <w:lang w:val="es-ES"/>
        </w:rPr>
        <w:t xml:space="preserve">, </w:t>
      </w:r>
      <w:r w:rsidRPr="00A04825">
        <w:rPr>
          <w:rFonts w:ascii="Cambria" w:eastAsia="Calibri" w:hAnsi="Cambria" w:cs="Times New Roman"/>
          <w:sz w:val="14"/>
          <w:lang w:val="es-ES"/>
        </w:rPr>
        <w:t xml:space="preserve">emitido por la Comisión de Hacienda Pública y de Patrimonio Municipal de Zapotlán el Grande, Jalisco; que consta de 3 fojas útiles impresas por ambos lados. </w:t>
      </w:r>
    </w:p>
    <w:sectPr w:rsidR="00AF34C1" w:rsidRPr="00A04825" w:rsidSect="00391602">
      <w:headerReference w:type="default" r:id="rId7"/>
      <w:footerReference w:type="default" r:id="rId8"/>
      <w:pgSz w:w="12240" w:h="15840"/>
      <w:pgMar w:top="2268" w:right="170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F12" w:rsidRDefault="000C3F12" w:rsidP="00391602">
      <w:pPr>
        <w:spacing w:after="0" w:line="240" w:lineRule="auto"/>
      </w:pPr>
      <w:r>
        <w:separator/>
      </w:r>
    </w:p>
  </w:endnote>
  <w:endnote w:type="continuationSeparator" w:id="0">
    <w:p w:rsidR="000C3F12" w:rsidRDefault="000C3F12" w:rsidP="00391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5D4" w:rsidRDefault="002665D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31684209" wp14:editId="07BA1B48">
          <wp:simplePos x="0" y="0"/>
          <wp:positionH relativeFrom="margin">
            <wp:posOffset>-1139825</wp:posOffset>
          </wp:positionH>
          <wp:positionV relativeFrom="margin">
            <wp:posOffset>6959600</wp:posOffset>
          </wp:positionV>
          <wp:extent cx="7779385" cy="1759585"/>
          <wp:effectExtent l="0" t="0" r="0" b="0"/>
          <wp:wrapNone/>
          <wp:docPr id="1" name="Imagen 1" descr="290918_ZAPOTLAN_Hoja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90918_ZAPOTLAN_Hoja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518"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75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F12" w:rsidRDefault="000C3F12" w:rsidP="00391602">
      <w:pPr>
        <w:spacing w:after="0" w:line="240" w:lineRule="auto"/>
      </w:pPr>
      <w:r>
        <w:separator/>
      </w:r>
    </w:p>
  </w:footnote>
  <w:footnote w:type="continuationSeparator" w:id="0">
    <w:p w:rsidR="000C3F12" w:rsidRDefault="000C3F12" w:rsidP="00391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5D4" w:rsidRDefault="00F24D34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85.15pt;margin-top:-97.5pt;width:612.55pt;height:120.3pt;z-index:-251658240;mso-wrap-edited:f;mso-position-horizontal-relative:margin;mso-position-vertical-relative:margin" wrapcoords="-26 0 -26 21559 21600 21559 21600 0 -26 0">
          <v:imagedata r:id="rId1" o:title="290918_ZAPOTLAN_HojaMembretada-01" cropbottom="5558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D0543A"/>
    <w:multiLevelType w:val="hybridMultilevel"/>
    <w:tmpl w:val="3ABE1CF8"/>
    <w:lvl w:ilvl="0" w:tplc="936ACC7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1B41F2"/>
    <w:multiLevelType w:val="hybridMultilevel"/>
    <w:tmpl w:val="965819EC"/>
    <w:lvl w:ilvl="0" w:tplc="2C341972">
      <w:start w:val="1"/>
      <w:numFmt w:val="upperRoman"/>
      <w:lvlText w:val="%1."/>
      <w:lvlJc w:val="left"/>
      <w:pPr>
        <w:ind w:left="1429" w:hanging="720"/>
      </w:pPr>
    </w:lvl>
    <w:lvl w:ilvl="1" w:tplc="080A0019">
      <w:start w:val="1"/>
      <w:numFmt w:val="lowerLetter"/>
      <w:lvlText w:val="%2."/>
      <w:lvlJc w:val="left"/>
      <w:pPr>
        <w:ind w:left="1789" w:hanging="360"/>
      </w:pPr>
    </w:lvl>
    <w:lvl w:ilvl="2" w:tplc="080A001B">
      <w:start w:val="1"/>
      <w:numFmt w:val="lowerRoman"/>
      <w:lvlText w:val="%3."/>
      <w:lvlJc w:val="right"/>
      <w:pPr>
        <w:ind w:left="2509" w:hanging="180"/>
      </w:pPr>
    </w:lvl>
    <w:lvl w:ilvl="3" w:tplc="080A000F">
      <w:start w:val="1"/>
      <w:numFmt w:val="decimal"/>
      <w:lvlText w:val="%4."/>
      <w:lvlJc w:val="left"/>
      <w:pPr>
        <w:ind w:left="3229" w:hanging="360"/>
      </w:pPr>
    </w:lvl>
    <w:lvl w:ilvl="4" w:tplc="080A0019">
      <w:start w:val="1"/>
      <w:numFmt w:val="lowerLetter"/>
      <w:lvlText w:val="%5."/>
      <w:lvlJc w:val="left"/>
      <w:pPr>
        <w:ind w:left="3949" w:hanging="360"/>
      </w:pPr>
    </w:lvl>
    <w:lvl w:ilvl="5" w:tplc="080A001B">
      <w:start w:val="1"/>
      <w:numFmt w:val="lowerRoman"/>
      <w:lvlText w:val="%6."/>
      <w:lvlJc w:val="right"/>
      <w:pPr>
        <w:ind w:left="4669" w:hanging="180"/>
      </w:pPr>
    </w:lvl>
    <w:lvl w:ilvl="6" w:tplc="080A000F">
      <w:start w:val="1"/>
      <w:numFmt w:val="decimal"/>
      <w:lvlText w:val="%7."/>
      <w:lvlJc w:val="left"/>
      <w:pPr>
        <w:ind w:left="5389" w:hanging="360"/>
      </w:pPr>
    </w:lvl>
    <w:lvl w:ilvl="7" w:tplc="080A0019">
      <w:start w:val="1"/>
      <w:numFmt w:val="lowerLetter"/>
      <w:lvlText w:val="%8."/>
      <w:lvlJc w:val="left"/>
      <w:pPr>
        <w:ind w:left="6109" w:hanging="360"/>
      </w:pPr>
    </w:lvl>
    <w:lvl w:ilvl="8" w:tplc="080A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503"/>
    <w:rsid w:val="00043AB5"/>
    <w:rsid w:val="00045DC6"/>
    <w:rsid w:val="00063F8A"/>
    <w:rsid w:val="000745BA"/>
    <w:rsid w:val="000C3F12"/>
    <w:rsid w:val="000D207E"/>
    <w:rsid w:val="001144A2"/>
    <w:rsid w:val="00132917"/>
    <w:rsid w:val="00140006"/>
    <w:rsid w:val="0015355A"/>
    <w:rsid w:val="00173B05"/>
    <w:rsid w:val="0017772D"/>
    <w:rsid w:val="00190BE2"/>
    <w:rsid w:val="001B642D"/>
    <w:rsid w:val="001C49F9"/>
    <w:rsid w:val="001E7936"/>
    <w:rsid w:val="001F1555"/>
    <w:rsid w:val="001F5EAE"/>
    <w:rsid w:val="0021765E"/>
    <w:rsid w:val="002412E8"/>
    <w:rsid w:val="00250171"/>
    <w:rsid w:val="002665D4"/>
    <w:rsid w:val="002706A5"/>
    <w:rsid w:val="002B648C"/>
    <w:rsid w:val="002F6CBE"/>
    <w:rsid w:val="00304CA1"/>
    <w:rsid w:val="00307F84"/>
    <w:rsid w:val="00310F37"/>
    <w:rsid w:val="003179DE"/>
    <w:rsid w:val="003312F8"/>
    <w:rsid w:val="00391602"/>
    <w:rsid w:val="003B20A7"/>
    <w:rsid w:val="003B7923"/>
    <w:rsid w:val="003C3AF4"/>
    <w:rsid w:val="003C564D"/>
    <w:rsid w:val="003F698A"/>
    <w:rsid w:val="00416C33"/>
    <w:rsid w:val="00442BA3"/>
    <w:rsid w:val="00454AC9"/>
    <w:rsid w:val="004B2B06"/>
    <w:rsid w:val="004F3782"/>
    <w:rsid w:val="004F4D1B"/>
    <w:rsid w:val="0052772E"/>
    <w:rsid w:val="00535C7A"/>
    <w:rsid w:val="00543ABF"/>
    <w:rsid w:val="00554253"/>
    <w:rsid w:val="0059629C"/>
    <w:rsid w:val="005A6593"/>
    <w:rsid w:val="005F6715"/>
    <w:rsid w:val="00600B5F"/>
    <w:rsid w:val="00614703"/>
    <w:rsid w:val="006153CA"/>
    <w:rsid w:val="00617B61"/>
    <w:rsid w:val="006257B4"/>
    <w:rsid w:val="00670D7D"/>
    <w:rsid w:val="00697CA0"/>
    <w:rsid w:val="006D3A95"/>
    <w:rsid w:val="006E222C"/>
    <w:rsid w:val="006E3559"/>
    <w:rsid w:val="006E42B2"/>
    <w:rsid w:val="006F5B80"/>
    <w:rsid w:val="00740D06"/>
    <w:rsid w:val="00783EC5"/>
    <w:rsid w:val="007853C2"/>
    <w:rsid w:val="00795EF9"/>
    <w:rsid w:val="007F313B"/>
    <w:rsid w:val="00827C4B"/>
    <w:rsid w:val="008370DD"/>
    <w:rsid w:val="00886684"/>
    <w:rsid w:val="008D06D9"/>
    <w:rsid w:val="008F2C69"/>
    <w:rsid w:val="0090270F"/>
    <w:rsid w:val="009101B6"/>
    <w:rsid w:val="00933675"/>
    <w:rsid w:val="00943166"/>
    <w:rsid w:val="00950BCE"/>
    <w:rsid w:val="009571AA"/>
    <w:rsid w:val="00957756"/>
    <w:rsid w:val="00973503"/>
    <w:rsid w:val="009B103B"/>
    <w:rsid w:val="009C0A87"/>
    <w:rsid w:val="009F359B"/>
    <w:rsid w:val="00A0003D"/>
    <w:rsid w:val="00A016FA"/>
    <w:rsid w:val="00A04825"/>
    <w:rsid w:val="00A16723"/>
    <w:rsid w:val="00A438CC"/>
    <w:rsid w:val="00A47A30"/>
    <w:rsid w:val="00A57876"/>
    <w:rsid w:val="00A66C15"/>
    <w:rsid w:val="00A849FA"/>
    <w:rsid w:val="00A87B72"/>
    <w:rsid w:val="00AE4EBE"/>
    <w:rsid w:val="00AF34C1"/>
    <w:rsid w:val="00AF6DD5"/>
    <w:rsid w:val="00B21D61"/>
    <w:rsid w:val="00B35CCD"/>
    <w:rsid w:val="00B67743"/>
    <w:rsid w:val="00B82D93"/>
    <w:rsid w:val="00C170CA"/>
    <w:rsid w:val="00C231B9"/>
    <w:rsid w:val="00C43BCC"/>
    <w:rsid w:val="00C523D1"/>
    <w:rsid w:val="00C662BA"/>
    <w:rsid w:val="00C85FA5"/>
    <w:rsid w:val="00CF34E2"/>
    <w:rsid w:val="00D022CF"/>
    <w:rsid w:val="00D22591"/>
    <w:rsid w:val="00D60B8C"/>
    <w:rsid w:val="00D77BD5"/>
    <w:rsid w:val="00DA5A2C"/>
    <w:rsid w:val="00DD268A"/>
    <w:rsid w:val="00E5580E"/>
    <w:rsid w:val="00E71AC3"/>
    <w:rsid w:val="00E87299"/>
    <w:rsid w:val="00E9166D"/>
    <w:rsid w:val="00E9318E"/>
    <w:rsid w:val="00E95D09"/>
    <w:rsid w:val="00EA7D69"/>
    <w:rsid w:val="00EB2FCD"/>
    <w:rsid w:val="00EC09AD"/>
    <w:rsid w:val="00ED66F0"/>
    <w:rsid w:val="00ED710F"/>
    <w:rsid w:val="00F0406C"/>
    <w:rsid w:val="00F24D34"/>
    <w:rsid w:val="00F36AB3"/>
    <w:rsid w:val="00F4025F"/>
    <w:rsid w:val="00FC2F7B"/>
    <w:rsid w:val="00FD0A50"/>
    <w:rsid w:val="00FD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40D3E28D-EC65-4992-9432-D82FE76B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5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73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9C0A87"/>
    <w:pPr>
      <w:spacing w:after="0" w:line="240" w:lineRule="auto"/>
    </w:pPr>
    <w:rPr>
      <w:rFonts w:eastAsia="Times New Roman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C0A87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10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3916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1602"/>
  </w:style>
  <w:style w:type="paragraph" w:styleId="Piedepgina">
    <w:name w:val="footer"/>
    <w:basedOn w:val="Normal"/>
    <w:link w:val="PiedepginaCar"/>
    <w:uiPriority w:val="99"/>
    <w:unhideWhenUsed/>
    <w:rsid w:val="003916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1602"/>
  </w:style>
  <w:style w:type="paragraph" w:styleId="Textodeglobo">
    <w:name w:val="Balloon Text"/>
    <w:basedOn w:val="Normal"/>
    <w:link w:val="TextodegloboCar"/>
    <w:uiPriority w:val="99"/>
    <w:semiHidden/>
    <w:unhideWhenUsed/>
    <w:rsid w:val="00E93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318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943166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43166"/>
    <w:rPr>
      <w:color w:val="954F72"/>
      <w:u w:val="single"/>
    </w:rPr>
  </w:style>
  <w:style w:type="paragraph" w:customStyle="1" w:styleId="xl65">
    <w:name w:val="xl65"/>
    <w:basedOn w:val="Normal"/>
    <w:rsid w:val="0094316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94316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68">
    <w:name w:val="xl68"/>
    <w:basedOn w:val="Normal"/>
    <w:rsid w:val="009431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es-MX"/>
    </w:rPr>
  </w:style>
  <w:style w:type="paragraph" w:customStyle="1" w:styleId="xl69">
    <w:name w:val="xl69"/>
    <w:basedOn w:val="Normal"/>
    <w:rsid w:val="009431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0">
    <w:name w:val="xl70"/>
    <w:basedOn w:val="Normal"/>
    <w:rsid w:val="009431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1">
    <w:name w:val="xl71"/>
    <w:basedOn w:val="Normal"/>
    <w:rsid w:val="009431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2">
    <w:name w:val="xl72"/>
    <w:basedOn w:val="Normal"/>
    <w:rsid w:val="009431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es-MX"/>
    </w:rPr>
  </w:style>
  <w:style w:type="paragraph" w:customStyle="1" w:styleId="xl73">
    <w:name w:val="xl73"/>
    <w:basedOn w:val="Normal"/>
    <w:rsid w:val="009431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es-MX"/>
    </w:rPr>
  </w:style>
  <w:style w:type="paragraph" w:customStyle="1" w:styleId="xl74">
    <w:name w:val="xl74"/>
    <w:basedOn w:val="Normal"/>
    <w:rsid w:val="009431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9431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es-MX"/>
    </w:rPr>
  </w:style>
  <w:style w:type="paragraph" w:customStyle="1" w:styleId="xl76">
    <w:name w:val="xl76"/>
    <w:basedOn w:val="Normal"/>
    <w:rsid w:val="009431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es-MX"/>
    </w:rPr>
  </w:style>
  <w:style w:type="paragraph" w:customStyle="1" w:styleId="xl77">
    <w:name w:val="xl77"/>
    <w:basedOn w:val="Normal"/>
    <w:rsid w:val="009431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78">
    <w:name w:val="xl78"/>
    <w:basedOn w:val="Normal"/>
    <w:rsid w:val="009431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es-MX"/>
    </w:rPr>
  </w:style>
  <w:style w:type="paragraph" w:customStyle="1" w:styleId="xl67">
    <w:name w:val="xl67"/>
    <w:basedOn w:val="Normal"/>
    <w:rsid w:val="0094316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character" w:customStyle="1" w:styleId="Ninguno">
    <w:name w:val="Ninguno"/>
    <w:rsid w:val="00827C4B"/>
  </w:style>
  <w:style w:type="paragraph" w:customStyle="1" w:styleId="Cuerpo">
    <w:name w:val="Cuerpo"/>
    <w:rsid w:val="001F5E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n-US" w:eastAsia="es-MX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1817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Laura Elena Martinez Ruvalcaba</cp:lastModifiedBy>
  <cp:revision>14</cp:revision>
  <cp:lastPrinted>2020-07-23T17:12:00Z</cp:lastPrinted>
  <dcterms:created xsi:type="dcterms:W3CDTF">2020-07-02T15:13:00Z</dcterms:created>
  <dcterms:modified xsi:type="dcterms:W3CDTF">2020-07-23T18:39:00Z</dcterms:modified>
</cp:coreProperties>
</file>