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AB6FAA" w:rsidRPr="001E661B" w:rsidRDefault="004778A3" w:rsidP="00A60030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120BC3" w:rsidRPr="0080737A">
        <w:rPr>
          <w:rFonts w:ascii="Verdana" w:hAnsi="Verdana" w:cs="Tahoma"/>
          <w:b/>
          <w:sz w:val="22"/>
          <w:szCs w:val="22"/>
          <w:lang w:val="es-MX"/>
        </w:rPr>
        <w:t xml:space="preserve">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en mi calidad de </w:t>
      </w:r>
      <w:r>
        <w:rPr>
          <w:rFonts w:ascii="Verdana" w:hAnsi="Verdana" w:cs="Tahoma"/>
          <w:sz w:val="22"/>
          <w:szCs w:val="22"/>
          <w:lang w:val="es-MX"/>
        </w:rPr>
        <w:t>Regidora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de La Ley del Gobierno y la Administración Pública Municipal del Estado de Jalisco, así como los  artículos 38 fracción </w:t>
      </w:r>
      <w:r w:rsidR="00D017B5">
        <w:rPr>
          <w:rFonts w:ascii="Verdana" w:hAnsi="Verdana" w:cs="Tahoma"/>
          <w:sz w:val="22"/>
          <w:szCs w:val="22"/>
          <w:lang w:val="es-MX"/>
        </w:rPr>
        <w:t>XVII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="00120BC3"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>INICIATIVA DE</w:t>
      </w:r>
      <w:r w:rsidR="00D8423F">
        <w:rPr>
          <w:rFonts w:ascii="Verdana" w:hAnsi="Verdana" w:cstheme="minorHAnsi"/>
          <w:b/>
          <w:sz w:val="22"/>
          <w:szCs w:val="22"/>
          <w:lang w:val="es-MX"/>
        </w:rPr>
        <w:t xml:space="preserve"> AC</w:t>
      </w:r>
      <w:r w:rsidR="00466876">
        <w:rPr>
          <w:rFonts w:ascii="Verdana" w:hAnsi="Verdana" w:cstheme="minorHAnsi"/>
          <w:b/>
          <w:sz w:val="22"/>
          <w:szCs w:val="22"/>
          <w:lang w:val="es-MX"/>
        </w:rPr>
        <w:t xml:space="preserve">UERDO ECONOMICO </w:t>
      </w:r>
      <w:r w:rsidR="00D8423F">
        <w:rPr>
          <w:rFonts w:ascii="Verdana" w:hAnsi="Verdana" w:cstheme="minorHAnsi"/>
          <w:b/>
          <w:sz w:val="22"/>
          <w:szCs w:val="22"/>
          <w:lang w:val="es-MX"/>
        </w:rPr>
        <w:t>QUE PROPONE LA CREACION DE UNA PARTIDA PRESUPUESTAL DENOMINADA “FONDO MUNICIPAL PARA EMERGENCIAS Y/O DESASTRES NATURALES”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AB6FAA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:rsidR="001F2DFC" w:rsidRPr="00F25B37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I.-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F25B37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color w:val="000000"/>
          <w:sz w:val="22"/>
          <w:szCs w:val="22"/>
          <w:lang w:val="es-MX" w:eastAsia="es-MX"/>
        </w:rPr>
        <w:t>II.-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F25B37">
        <w:rPr>
          <w:rFonts w:ascii="Verdana" w:hAnsi="Verdana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F25B37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F25B37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AB6FAA" w:rsidRPr="00F25B37" w:rsidRDefault="00AB6FAA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466876" w:rsidRDefault="00AB6FAA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2F7891">
        <w:rPr>
          <w:rFonts w:ascii="Verdana" w:hAnsi="Verdana" w:cstheme="minorHAnsi"/>
          <w:b/>
          <w:sz w:val="22"/>
          <w:szCs w:val="22"/>
          <w:lang w:val="es-MX"/>
        </w:rPr>
        <w:t>III.-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466876">
        <w:rPr>
          <w:rFonts w:ascii="Verdana" w:hAnsi="Verdana" w:cstheme="minorHAnsi"/>
          <w:sz w:val="22"/>
          <w:szCs w:val="22"/>
          <w:lang w:val="es-MX"/>
        </w:rPr>
        <w:t>En los últimos años en el municipio de Zapotlán se han presentado varios fenómenos meteorológicos, contingencias ambientales, tales como incendios, sismos, huracanes, lluvias abundantes, entre otros.  Y a pesar de que afortunadamente se ha contado con la solidaridad de los habitantes del municipio considero que es importante crear un fondo de reserva</w:t>
      </w:r>
      <w:r w:rsidR="00371BFF">
        <w:rPr>
          <w:rFonts w:ascii="Verdana" w:hAnsi="Verdana" w:cstheme="minorHAnsi"/>
          <w:sz w:val="22"/>
          <w:szCs w:val="22"/>
          <w:lang w:val="es-MX"/>
        </w:rPr>
        <w:t xml:space="preserve"> cuyos recursos sean destinados para el abastecimiento de suministros y equipamiento estratégico que solvente las necesidades básicas para la operatividad de la Unidad Municipal de Protección Civil</w:t>
      </w:r>
      <w:r w:rsidR="002B6E68">
        <w:rPr>
          <w:rFonts w:ascii="Verdana" w:hAnsi="Verdana" w:cstheme="minorHAnsi"/>
          <w:sz w:val="22"/>
          <w:szCs w:val="22"/>
          <w:lang w:val="es-MX"/>
        </w:rPr>
        <w:t xml:space="preserve"> de Zapotlán El Grande</w:t>
      </w:r>
      <w:r w:rsidR="00371BFF">
        <w:rPr>
          <w:rFonts w:ascii="Verdana" w:hAnsi="Verdana" w:cstheme="minorHAnsi"/>
          <w:sz w:val="22"/>
          <w:szCs w:val="22"/>
          <w:lang w:val="es-MX"/>
        </w:rPr>
        <w:t>, teniendo como objetivo primordial garantizar la seguridad y salvaguarda de la población.</w:t>
      </w:r>
    </w:p>
    <w:p w:rsidR="00F6228C" w:rsidRDefault="00F6228C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F6228C" w:rsidRDefault="00F6228C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2B6E68">
        <w:rPr>
          <w:rFonts w:ascii="Verdana" w:hAnsi="Verdana" w:cstheme="minorHAnsi"/>
          <w:b/>
          <w:sz w:val="22"/>
          <w:szCs w:val="22"/>
          <w:lang w:val="es-MX"/>
        </w:rPr>
        <w:t>IV</w:t>
      </w:r>
      <w:r>
        <w:rPr>
          <w:rFonts w:ascii="Verdana" w:hAnsi="Verdana" w:cstheme="minorHAnsi"/>
          <w:sz w:val="22"/>
          <w:szCs w:val="22"/>
          <w:lang w:val="es-MX"/>
        </w:rPr>
        <w:t>. La importancia de la creación de esta Cuenta de Reserva, ayudara a que las finanzas del Municipio no se vean afectadas ni alteradas al tener que modificar o disminuir otras partidas presupuestales</w:t>
      </w:r>
      <w:r w:rsidR="002B6E68">
        <w:rPr>
          <w:rFonts w:ascii="Verdana" w:hAnsi="Verdana" w:cstheme="minorHAnsi"/>
          <w:sz w:val="22"/>
          <w:szCs w:val="22"/>
          <w:lang w:val="es-MX"/>
        </w:rPr>
        <w:t>.</w:t>
      </w:r>
    </w:p>
    <w:p w:rsidR="002B6E68" w:rsidRDefault="002B6E68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2B6E68" w:rsidRDefault="002B6E68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2B6E68">
        <w:rPr>
          <w:rFonts w:ascii="Verdana" w:hAnsi="Verdana" w:cstheme="minorHAnsi"/>
          <w:b/>
          <w:sz w:val="22"/>
          <w:szCs w:val="22"/>
          <w:lang w:val="es-MX"/>
        </w:rPr>
        <w:t>V</w:t>
      </w:r>
      <w:r>
        <w:rPr>
          <w:rFonts w:ascii="Verdana" w:hAnsi="Verdana" w:cstheme="minorHAnsi"/>
          <w:sz w:val="22"/>
          <w:szCs w:val="22"/>
          <w:lang w:val="es-MX"/>
        </w:rPr>
        <w:t xml:space="preserve">. Independientemente de que en México se cuenta con el Fondo para Desastres Naturales o Fondo para la </w:t>
      </w:r>
      <w:r w:rsidR="00580E5A">
        <w:rPr>
          <w:rFonts w:ascii="Verdana" w:hAnsi="Verdana" w:cstheme="minorHAnsi"/>
          <w:sz w:val="22"/>
          <w:szCs w:val="22"/>
          <w:lang w:val="es-MX"/>
        </w:rPr>
        <w:t>Atención</w:t>
      </w:r>
      <w:r>
        <w:rPr>
          <w:rFonts w:ascii="Verdana" w:hAnsi="Verdana" w:cstheme="minorHAnsi"/>
          <w:sz w:val="22"/>
          <w:szCs w:val="22"/>
          <w:lang w:val="es-MX"/>
        </w:rPr>
        <w:t xml:space="preserve"> de Emergencias</w:t>
      </w:r>
      <w:r w:rsidR="00580E5A">
        <w:rPr>
          <w:rFonts w:ascii="Verdana" w:hAnsi="Verdana" w:cstheme="minorHAnsi"/>
          <w:sz w:val="22"/>
          <w:szCs w:val="22"/>
          <w:lang w:val="es-MX"/>
        </w:rPr>
        <w:t xml:space="preserve"> (FONDEN)</w:t>
      </w:r>
      <w:r>
        <w:rPr>
          <w:rFonts w:ascii="Verdana" w:hAnsi="Verdana" w:cstheme="minorHAnsi"/>
          <w:sz w:val="22"/>
          <w:szCs w:val="22"/>
          <w:lang w:val="es-MX"/>
        </w:rPr>
        <w:t xml:space="preserve">, es bien sabido que para acceder a este tipo de recursos Federales implica un complejo </w:t>
      </w:r>
      <w:r w:rsidR="00580E5A">
        <w:rPr>
          <w:rFonts w:ascii="Verdana" w:hAnsi="Verdana" w:cstheme="minorHAnsi"/>
          <w:sz w:val="22"/>
          <w:szCs w:val="22"/>
          <w:lang w:val="es-MX"/>
        </w:rPr>
        <w:t xml:space="preserve">y largo </w:t>
      </w:r>
      <w:r>
        <w:rPr>
          <w:rFonts w:ascii="Verdana" w:hAnsi="Verdana" w:cstheme="minorHAnsi"/>
          <w:sz w:val="22"/>
          <w:szCs w:val="22"/>
          <w:lang w:val="es-MX"/>
        </w:rPr>
        <w:t>proceso</w:t>
      </w:r>
      <w:r w:rsidR="00580E5A">
        <w:rPr>
          <w:rFonts w:ascii="Verdana" w:hAnsi="Verdana" w:cstheme="minorHAnsi"/>
          <w:sz w:val="22"/>
          <w:szCs w:val="22"/>
          <w:lang w:val="es-MX"/>
        </w:rPr>
        <w:t xml:space="preserve">, por eso incurro en la insistente necesidad de crear reservas con recursos propios del Municipio. </w:t>
      </w:r>
    </w:p>
    <w:p w:rsidR="00580E5A" w:rsidRDefault="00580E5A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580E5A" w:rsidRPr="00466876" w:rsidRDefault="00580E5A" w:rsidP="00AC5947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77444B">
        <w:rPr>
          <w:rFonts w:ascii="Verdana" w:hAnsi="Verdana" w:cstheme="minorHAnsi"/>
          <w:b/>
          <w:sz w:val="22"/>
          <w:szCs w:val="22"/>
          <w:lang w:val="es-MX"/>
        </w:rPr>
        <w:t>VI</w:t>
      </w:r>
      <w:r>
        <w:rPr>
          <w:rFonts w:ascii="Verdana" w:hAnsi="Verdana" w:cstheme="minorHAnsi"/>
          <w:sz w:val="22"/>
          <w:szCs w:val="22"/>
          <w:lang w:val="es-MX"/>
        </w:rPr>
        <w:t>. En la transición y tran</w:t>
      </w:r>
      <w:r w:rsidR="0077444B">
        <w:rPr>
          <w:rFonts w:ascii="Verdana" w:hAnsi="Verdana" w:cstheme="minorHAnsi"/>
          <w:sz w:val="22"/>
          <w:szCs w:val="22"/>
          <w:lang w:val="es-MX"/>
        </w:rPr>
        <w:t>s</w:t>
      </w:r>
      <w:r>
        <w:rPr>
          <w:rFonts w:ascii="Verdana" w:hAnsi="Verdana" w:cstheme="minorHAnsi"/>
          <w:sz w:val="22"/>
          <w:szCs w:val="22"/>
          <w:lang w:val="es-MX"/>
        </w:rPr>
        <w:t xml:space="preserve">curso de los años 2018 y 2019 la </w:t>
      </w:r>
      <w:r>
        <w:rPr>
          <w:rFonts w:ascii="Verdana" w:hAnsi="Verdana" w:cstheme="minorHAnsi"/>
          <w:sz w:val="22"/>
          <w:szCs w:val="22"/>
          <w:lang w:val="es-MX"/>
        </w:rPr>
        <w:t>Unidad Municipal de Protección Civil de Zapotlán El Grande</w:t>
      </w:r>
      <w:r>
        <w:rPr>
          <w:rFonts w:ascii="Verdana" w:hAnsi="Verdana" w:cstheme="minorHAnsi"/>
          <w:sz w:val="22"/>
          <w:szCs w:val="22"/>
          <w:lang w:val="es-MX"/>
        </w:rPr>
        <w:t xml:space="preserve"> ha</w:t>
      </w:r>
      <w:r w:rsidR="008A24C0">
        <w:rPr>
          <w:rFonts w:ascii="Verdana" w:hAnsi="Verdana" w:cstheme="minorHAnsi"/>
          <w:sz w:val="22"/>
          <w:szCs w:val="22"/>
          <w:lang w:val="es-MX"/>
        </w:rPr>
        <w:t xml:space="preserve"> incrementado de manera extraordinaria </w:t>
      </w:r>
      <w:r>
        <w:rPr>
          <w:rFonts w:ascii="Verdana" w:hAnsi="Verdana" w:cstheme="minorHAnsi"/>
          <w:sz w:val="22"/>
          <w:szCs w:val="22"/>
          <w:lang w:val="es-MX"/>
        </w:rPr>
        <w:t>su Productividad en en el área de inspecciones</w:t>
      </w:r>
      <w:r w:rsidR="0077444B">
        <w:rPr>
          <w:rFonts w:ascii="Verdana" w:hAnsi="Verdana" w:cstheme="minorHAnsi"/>
          <w:sz w:val="22"/>
          <w:szCs w:val="22"/>
          <w:lang w:val="es-MX"/>
        </w:rPr>
        <w:t xml:space="preserve"> a Negocios en el Municipio en un 500% lo cual hace propicio que este tipo de ingresos excedentes que siguen yendo en aumento sirvan de </w:t>
      </w:r>
      <w:r w:rsidR="008A24C0">
        <w:rPr>
          <w:rFonts w:ascii="Verdana" w:hAnsi="Verdana" w:cstheme="minorHAnsi"/>
          <w:sz w:val="22"/>
          <w:szCs w:val="22"/>
          <w:lang w:val="es-MX"/>
        </w:rPr>
        <w:t xml:space="preserve"> Retroalimentación de la Cuenta</w:t>
      </w:r>
      <w:r w:rsidR="0077444B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8A24C0">
        <w:rPr>
          <w:rFonts w:ascii="Verdana" w:hAnsi="Verdana" w:cstheme="minorHAnsi"/>
          <w:sz w:val="22"/>
          <w:szCs w:val="22"/>
          <w:lang w:val="es-MX"/>
        </w:rPr>
        <w:t>de</w:t>
      </w:r>
      <w:r w:rsidR="0077444B">
        <w:rPr>
          <w:rFonts w:ascii="Verdana" w:hAnsi="Verdana" w:cstheme="minorHAnsi"/>
          <w:sz w:val="22"/>
          <w:szCs w:val="22"/>
          <w:lang w:val="es-MX"/>
        </w:rPr>
        <w:t>l Fondo</w:t>
      </w:r>
      <w:r w:rsidR="008A24C0">
        <w:rPr>
          <w:rFonts w:ascii="Verdana" w:hAnsi="Verdana" w:cstheme="minorHAnsi"/>
          <w:sz w:val="22"/>
          <w:szCs w:val="22"/>
          <w:lang w:val="es-MX"/>
        </w:rPr>
        <w:t xml:space="preserve"> Municipal para Emergencias y/o Desastres Naturales</w:t>
      </w:r>
      <w:r w:rsidR="0077444B">
        <w:rPr>
          <w:rFonts w:ascii="Verdana" w:hAnsi="Verdana" w:cstheme="minorHAnsi"/>
          <w:sz w:val="22"/>
          <w:szCs w:val="22"/>
          <w:lang w:val="es-MX"/>
        </w:rPr>
        <w:t xml:space="preserve"> en mención. </w:t>
      </w:r>
    </w:p>
    <w:p w:rsidR="00E779BB" w:rsidRPr="002F7891" w:rsidRDefault="00E779BB" w:rsidP="00E779BB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371BFF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466876" w:rsidRPr="00A60030">
        <w:rPr>
          <w:rFonts w:ascii="Verdana" w:hAnsi="Verdana" w:cstheme="minorHAnsi"/>
          <w:b/>
          <w:sz w:val="22"/>
          <w:szCs w:val="22"/>
          <w:lang w:val="es-MX"/>
        </w:rPr>
        <w:t>INICIATIVA DE</w:t>
      </w:r>
      <w:r w:rsidR="00466876">
        <w:rPr>
          <w:rFonts w:ascii="Verdana" w:hAnsi="Verdana" w:cstheme="minorHAnsi"/>
          <w:b/>
          <w:sz w:val="22"/>
          <w:szCs w:val="22"/>
          <w:lang w:val="es-MX"/>
        </w:rPr>
        <w:t xml:space="preserve"> ACUERDO ECONOMICO CON QUE PROPONE LA CREACION DE UNA PARTIDA PRESUPUESTAL DENOMINADA “FONDO MUNICIPAL PARA EMERGENCIAS Y/O DESASTRES NATURALES”</w:t>
      </w:r>
      <w:r w:rsidR="00466876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466876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371BFF">
        <w:rPr>
          <w:rFonts w:ascii="Verdana" w:hAnsi="Verdana" w:cs="Tahoma"/>
          <w:sz w:val="22"/>
          <w:szCs w:val="22"/>
          <w:lang w:val="es-MX"/>
        </w:rPr>
        <w:t>de conformidad a los</w:t>
      </w:r>
      <w:r w:rsidRPr="00F25B37">
        <w:rPr>
          <w:rFonts w:ascii="Verdana" w:hAnsi="Verdana" w:cs="Tahoma"/>
          <w:sz w:val="22"/>
          <w:szCs w:val="22"/>
          <w:lang w:val="es-MX"/>
        </w:rPr>
        <w:t xml:space="preserve"> siguiente</w:t>
      </w:r>
      <w:r w:rsidR="00371BFF">
        <w:rPr>
          <w:rFonts w:ascii="Verdana" w:hAnsi="Verdana" w:cs="Tahoma"/>
          <w:sz w:val="22"/>
          <w:szCs w:val="22"/>
          <w:lang w:val="es-MX"/>
        </w:rPr>
        <w:t>s:</w:t>
      </w:r>
    </w:p>
    <w:p w:rsidR="00371BFF" w:rsidRDefault="00371BFF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>
        <w:rPr>
          <w:rFonts w:ascii="Verdana" w:hAnsi="Verdana" w:cs="Tahoma"/>
          <w:sz w:val="22"/>
          <w:szCs w:val="22"/>
          <w:lang w:val="es-MX"/>
        </w:rPr>
        <w:t xml:space="preserve"> </w:t>
      </w:r>
    </w:p>
    <w:p w:rsidR="00AB6FAA" w:rsidRDefault="00371BFF" w:rsidP="00371BFF">
      <w:pPr>
        <w:jc w:val="center"/>
        <w:rPr>
          <w:rFonts w:ascii="Verdana" w:hAnsi="Verdana" w:cs="Tahoma"/>
          <w:b/>
          <w:sz w:val="22"/>
          <w:szCs w:val="22"/>
          <w:lang w:val="es-MX"/>
        </w:rPr>
      </w:pPr>
      <w:r w:rsidRPr="00371BFF">
        <w:rPr>
          <w:rFonts w:ascii="Verdana" w:hAnsi="Verdana" w:cs="Tahoma"/>
          <w:b/>
          <w:sz w:val="22"/>
          <w:szCs w:val="22"/>
          <w:lang w:val="es-MX"/>
        </w:rPr>
        <w:t>RESOLUTIVOS</w:t>
      </w:r>
    </w:p>
    <w:p w:rsidR="00371BFF" w:rsidRDefault="00371BFF" w:rsidP="00371BFF">
      <w:pPr>
        <w:jc w:val="center"/>
        <w:rPr>
          <w:rFonts w:ascii="Verdana" w:hAnsi="Verdana" w:cs="Tahoma"/>
          <w:b/>
          <w:sz w:val="22"/>
          <w:szCs w:val="22"/>
          <w:lang w:val="es-MX"/>
        </w:rPr>
      </w:pPr>
    </w:p>
    <w:p w:rsidR="00371BFF" w:rsidRPr="00371BFF" w:rsidRDefault="00371BFF" w:rsidP="00371BFF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 xml:space="preserve">PRIMERO: </w:t>
      </w:r>
      <w:r w:rsidRPr="00371BFF">
        <w:rPr>
          <w:rFonts w:ascii="Verdana" w:hAnsi="Verdana" w:cs="Tahoma"/>
          <w:sz w:val="22"/>
          <w:szCs w:val="22"/>
          <w:lang w:val="es-MX"/>
        </w:rPr>
        <w:t xml:space="preserve">El pleno del H. Ayuntamiento autoriza la creación de la partida presupuestal </w:t>
      </w:r>
      <w:r w:rsidRPr="00371BFF">
        <w:rPr>
          <w:rFonts w:ascii="Verdana" w:hAnsi="Verdana" w:cstheme="minorHAnsi"/>
          <w:sz w:val="22"/>
          <w:szCs w:val="22"/>
          <w:lang w:val="es-MX"/>
        </w:rPr>
        <w:t>denominada “Fondo municipal para emergencias y/o desastres naturales</w:t>
      </w:r>
      <w:r w:rsidRPr="00371BFF">
        <w:rPr>
          <w:rFonts w:ascii="Verdana" w:hAnsi="Verdana" w:cstheme="minorHAnsi"/>
          <w:sz w:val="22"/>
          <w:szCs w:val="22"/>
          <w:lang w:val="es-MX"/>
        </w:rPr>
        <w:t>”</w:t>
      </w:r>
      <w:r w:rsidRPr="00371BFF">
        <w:rPr>
          <w:rFonts w:ascii="Verdana" w:eastAsiaTheme="minorHAnsi" w:hAnsi="Verdana" w:cs="Arial-BoldMT"/>
          <w:bCs/>
          <w:sz w:val="22"/>
          <w:szCs w:val="22"/>
          <w:lang w:val="es-MX"/>
        </w:rPr>
        <w:t>,</w:t>
      </w: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:rsidR="00AB6FAA" w:rsidRDefault="002B6E68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  <w:r>
        <w:rPr>
          <w:rFonts w:ascii="Verdana" w:hAnsi="Verdana" w:cstheme="minorHAnsi"/>
          <w:b/>
          <w:bCs/>
          <w:sz w:val="22"/>
          <w:szCs w:val="22"/>
          <w:lang w:val="es-MX"/>
        </w:rPr>
        <w:t>SEGUNDO</w:t>
      </w:r>
      <w:r w:rsidR="00AB6FAA"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: </w:t>
      </w:r>
      <w:r w:rsidR="00AB6FAA" w:rsidRPr="00F25B37">
        <w:rPr>
          <w:rFonts w:ascii="Verdana" w:hAnsi="Verdana" w:cs="Tahoma"/>
          <w:bCs/>
          <w:sz w:val="22"/>
          <w:szCs w:val="22"/>
          <w:lang w:val="es-MX"/>
        </w:rPr>
        <w:t>Se turne</w:t>
      </w:r>
      <w:r>
        <w:rPr>
          <w:rFonts w:ascii="Verdana" w:hAnsi="Verdana" w:cs="Tahoma"/>
          <w:bCs/>
          <w:sz w:val="22"/>
          <w:szCs w:val="22"/>
          <w:lang w:val="es-MX"/>
        </w:rPr>
        <w:t xml:space="preserve"> la propuesta</w:t>
      </w:r>
      <w:r w:rsidR="00AB6FAA" w:rsidRPr="00F25B37">
        <w:rPr>
          <w:rFonts w:ascii="Verdana" w:hAnsi="Verdana" w:cs="Tahoma"/>
          <w:bCs/>
          <w:sz w:val="22"/>
          <w:szCs w:val="22"/>
          <w:lang w:val="es-MX"/>
        </w:rPr>
        <w:t xml:space="preserve">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="00AB6FAA"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</w:t>
      </w:r>
      <w:r w:rsidR="00F6228C">
        <w:rPr>
          <w:rFonts w:ascii="Verdana" w:hAnsi="Verdana" w:cs="Tahoma"/>
          <w:bCs/>
          <w:sz w:val="22"/>
          <w:szCs w:val="22"/>
          <w:lang w:val="es-MX"/>
        </w:rPr>
        <w:t xml:space="preserve">de Hacienda y Patrimonio Municipal para que integre </w:t>
      </w:r>
      <w:r w:rsidR="00F6228C" w:rsidRPr="00371BFF">
        <w:rPr>
          <w:rFonts w:ascii="Verdana" w:hAnsi="Verdana" w:cs="Tahoma"/>
          <w:sz w:val="22"/>
          <w:szCs w:val="22"/>
          <w:lang w:val="es-MX"/>
        </w:rPr>
        <w:t xml:space="preserve">la partida presupuestal </w:t>
      </w:r>
      <w:r w:rsidR="00F6228C" w:rsidRPr="00371BFF">
        <w:rPr>
          <w:rFonts w:ascii="Verdana" w:hAnsi="Verdana" w:cstheme="minorHAnsi"/>
          <w:sz w:val="22"/>
          <w:szCs w:val="22"/>
          <w:lang w:val="es-MX"/>
        </w:rPr>
        <w:t>denominada “Fondo municipal para emergencias y/o desastres naturales”</w:t>
      </w:r>
      <w:r>
        <w:rPr>
          <w:rFonts w:ascii="Verdana" w:eastAsiaTheme="minorHAnsi" w:hAnsi="Verdana" w:cs="Arial-BoldMT"/>
          <w:bCs/>
          <w:sz w:val="22"/>
          <w:szCs w:val="22"/>
          <w:lang w:val="es-MX"/>
        </w:rPr>
        <w:t xml:space="preserve"> al Presupuesto de Egresos 2020,  así como la determinación del monto que se asignará.</w:t>
      </w:r>
    </w:p>
    <w:p w:rsidR="008A24C0" w:rsidRDefault="008A24C0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</w:p>
    <w:p w:rsidR="008A24C0" w:rsidRDefault="008A24C0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</w:p>
    <w:p w:rsidR="008A24C0" w:rsidRDefault="008A24C0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</w:p>
    <w:p w:rsidR="008A24C0" w:rsidRDefault="008A24C0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</w:p>
    <w:p w:rsidR="008A24C0" w:rsidRDefault="008A24C0" w:rsidP="00AB6FAA">
      <w:pPr>
        <w:jc w:val="both"/>
        <w:rPr>
          <w:rFonts w:ascii="Verdana" w:eastAsiaTheme="minorHAnsi" w:hAnsi="Verdana" w:cs="Arial-BoldMT"/>
          <w:bCs/>
          <w:sz w:val="22"/>
          <w:szCs w:val="22"/>
          <w:lang w:val="es-MX"/>
        </w:rPr>
      </w:pPr>
    </w:p>
    <w:p w:rsidR="008A24C0" w:rsidRDefault="008A24C0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  <w:r w:rsidRPr="008A24C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TERCERO</w:t>
      </w:r>
      <w:r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: </w:t>
      </w:r>
      <w:r w:rsidRPr="008A24C0">
        <w:rPr>
          <w:rFonts w:ascii="Verdana" w:eastAsiaTheme="minorHAnsi" w:hAnsi="Verdana" w:cs="Arial-BoldMT"/>
          <w:bCs/>
          <w:sz w:val="22"/>
          <w:szCs w:val="22"/>
          <w:lang w:val="es-MX"/>
        </w:rPr>
        <w:t>Se turne a las Comisión de Tránsito y Protección Civil como convocante y a la comisión de Reglamen</w:t>
      </w:r>
      <w:r>
        <w:rPr>
          <w:rFonts w:ascii="Verdana" w:eastAsiaTheme="minorHAnsi" w:hAnsi="Verdana" w:cs="Arial-BoldMT"/>
          <w:bCs/>
          <w:sz w:val="22"/>
          <w:szCs w:val="22"/>
          <w:lang w:val="es-MX"/>
        </w:rPr>
        <w:t xml:space="preserve">tos como coadyuvante para que a través de Reglamento de Protección Civil y Bomberos  de Zapotlán El Grande se establezcan las Reglas de Operatividad de </w:t>
      </w:r>
      <w:r w:rsidRPr="00371BFF">
        <w:rPr>
          <w:rFonts w:ascii="Verdana" w:hAnsi="Verdana" w:cs="Tahoma"/>
          <w:sz w:val="22"/>
          <w:szCs w:val="22"/>
          <w:lang w:val="es-MX"/>
        </w:rPr>
        <w:t xml:space="preserve">la partida presupuestal </w:t>
      </w:r>
      <w:r w:rsidRPr="00371BFF">
        <w:rPr>
          <w:rFonts w:ascii="Verdana" w:hAnsi="Verdana" w:cstheme="minorHAnsi"/>
          <w:sz w:val="22"/>
          <w:szCs w:val="22"/>
          <w:lang w:val="es-MX"/>
        </w:rPr>
        <w:t>denominada “Fondo municipal para emergencias y/o desastres naturales”</w:t>
      </w:r>
      <w:r w:rsidR="00D64649">
        <w:rPr>
          <w:rFonts w:ascii="Verdana" w:hAnsi="Verdana" w:cstheme="minorHAnsi"/>
          <w:sz w:val="22"/>
          <w:szCs w:val="22"/>
          <w:lang w:val="es-MX"/>
        </w:rPr>
        <w:t>.</w:t>
      </w:r>
    </w:p>
    <w:p w:rsidR="00D64649" w:rsidRPr="008A24C0" w:rsidRDefault="00D64649" w:rsidP="00AB6FAA">
      <w:pPr>
        <w:jc w:val="both"/>
        <w:rPr>
          <w:rFonts w:ascii="Verdana" w:hAnsi="Verdana" w:cs="Tahoma"/>
          <w:b/>
          <w:bCs/>
          <w:sz w:val="22"/>
          <w:szCs w:val="22"/>
          <w:lang w:val="es-MX"/>
        </w:rPr>
      </w:pPr>
      <w:bookmarkStart w:id="0" w:name="_GoBack"/>
      <w:bookmarkEnd w:id="0"/>
    </w:p>
    <w:p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:rsidR="00D805FA" w:rsidRPr="00D805FA" w:rsidRDefault="00D805FA" w:rsidP="00D805FA">
      <w:pPr>
        <w:rPr>
          <w:rFonts w:eastAsia="Calibri"/>
          <w:lang w:val="pt-BR" w:eastAsia="es-ES"/>
        </w:rPr>
      </w:pPr>
    </w:p>
    <w:p w:rsidR="00F25B37" w:rsidRPr="00D805FA" w:rsidRDefault="00F25B37" w:rsidP="00D805FA">
      <w:pPr>
        <w:pStyle w:val="Sinespaciado"/>
        <w:jc w:val="center"/>
        <w:rPr>
          <w:rFonts w:eastAsia="Calibri"/>
          <w:lang w:val="pt-BR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AÑO DE LA IGUALDAD DE GÉNERO EN JALISCO”</w:t>
      </w:r>
    </w:p>
    <w:p w:rsidR="00D805FA" w:rsidRPr="00D805FA" w:rsidRDefault="00D805FA" w:rsidP="00D805FA">
      <w:pPr>
        <w:pStyle w:val="Sinespaciado"/>
        <w:jc w:val="center"/>
        <w:rPr>
          <w:rFonts w:ascii="Georgia" w:eastAsia="Calibri" w:hAnsi="Georgia"/>
          <w:lang w:val="es-MX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“AÑO DEL LXXX ANIVERSARIO DE LA ESCUELA SECUNDARIA BENITO JUÁREZ”</w:t>
      </w:r>
    </w:p>
    <w:p w:rsidR="00D805FA" w:rsidRPr="00D805FA" w:rsidRDefault="00D805FA" w:rsidP="00D805F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:rsidR="009E5225" w:rsidRDefault="00D805FA" w:rsidP="00D805F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</w:p>
    <w:p w:rsidR="00E01B6A" w:rsidRPr="00D805FA" w:rsidRDefault="00F6228C" w:rsidP="00526940">
      <w:pPr>
        <w:pStyle w:val="Ttulo2"/>
        <w:spacing w:line="276" w:lineRule="auto"/>
        <w:jc w:val="left"/>
        <w:rPr>
          <w:rFonts w:ascii="Verdana" w:eastAsia="Calibri" w:hAnsi="Verdana" w:cs="Tahoma"/>
          <w:b w:val="0"/>
          <w:bCs w:val="0"/>
          <w:sz w:val="22"/>
          <w:lang w:eastAsia="en-US"/>
        </w:rPr>
      </w:pPr>
      <w:r>
        <w:rPr>
          <w:rFonts w:ascii="Verdana" w:eastAsia="Calibri" w:hAnsi="Verdana" w:cs="Tahoma"/>
          <w:b w:val="0"/>
          <w:bCs w:val="0"/>
          <w:sz w:val="22"/>
        </w:rPr>
        <w:t xml:space="preserve">                 5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de </w:t>
      </w:r>
      <w:r>
        <w:rPr>
          <w:rFonts w:ascii="Verdana" w:eastAsia="Calibri" w:hAnsi="Verdana" w:cs="Tahoma"/>
          <w:b w:val="0"/>
          <w:bCs w:val="0"/>
          <w:sz w:val="22"/>
        </w:rPr>
        <w:t>diciembre</w:t>
      </w:r>
      <w:r w:rsidR="009E5225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del año 2019 dos mil diecinueve.</w:t>
      </w:r>
    </w:p>
    <w:p w:rsidR="00E01B6A" w:rsidRPr="00D805F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8370B3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:rsidR="0080737A" w:rsidRPr="0080737A" w:rsidRDefault="008370B3" w:rsidP="004C035C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>
        <w:rPr>
          <w:rFonts w:ascii="Verdana" w:hAnsi="Verdana" w:cs="Tahoma"/>
          <w:b/>
          <w:bCs/>
          <w:sz w:val="22"/>
          <w:szCs w:val="24"/>
          <w:lang w:val="es-MX"/>
        </w:rPr>
        <w:t>Regidora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Presidente de la Comisión Edilicia de </w:t>
      </w:r>
      <w:r w:rsidR="00D547D4">
        <w:rPr>
          <w:rFonts w:ascii="Verdana" w:hAnsi="Verdana" w:cs="Tahoma"/>
          <w:b/>
          <w:bCs/>
          <w:sz w:val="22"/>
          <w:szCs w:val="24"/>
          <w:lang w:val="es-MX"/>
        </w:rPr>
        <w:t>Transito y Protección Civil.</w:t>
      </w:r>
    </w:p>
    <w:sectPr w:rsidR="0080737A" w:rsidRPr="0080737A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D1" w:rsidRDefault="003972D1" w:rsidP="00120BC3">
      <w:r>
        <w:separator/>
      </w:r>
    </w:p>
  </w:endnote>
  <w:endnote w:type="continuationSeparator" w:id="0">
    <w:p w:rsidR="003972D1" w:rsidRDefault="003972D1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3972D1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464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3972D1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D1" w:rsidRDefault="003972D1" w:rsidP="00120BC3">
      <w:r>
        <w:separator/>
      </w:r>
    </w:p>
  </w:footnote>
  <w:footnote w:type="continuationSeparator" w:id="0">
    <w:p w:rsidR="003972D1" w:rsidRDefault="003972D1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3972D1">
    <w:pPr>
      <w:pStyle w:val="Encabezado"/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10C01"/>
    <w:rsid w:val="00060689"/>
    <w:rsid w:val="000719BD"/>
    <w:rsid w:val="000C1B72"/>
    <w:rsid w:val="0011156A"/>
    <w:rsid w:val="00120BC3"/>
    <w:rsid w:val="00144C7C"/>
    <w:rsid w:val="00193796"/>
    <w:rsid w:val="001C47E2"/>
    <w:rsid w:val="001E2BB2"/>
    <w:rsid w:val="001E661B"/>
    <w:rsid w:val="001F2DFC"/>
    <w:rsid w:val="00202A93"/>
    <w:rsid w:val="00205075"/>
    <w:rsid w:val="0022685C"/>
    <w:rsid w:val="00282449"/>
    <w:rsid w:val="002A5E86"/>
    <w:rsid w:val="002B6E68"/>
    <w:rsid w:val="002F7891"/>
    <w:rsid w:val="0033757A"/>
    <w:rsid w:val="003561C0"/>
    <w:rsid w:val="00371BFF"/>
    <w:rsid w:val="00384546"/>
    <w:rsid w:val="003853D7"/>
    <w:rsid w:val="00385753"/>
    <w:rsid w:val="003972D1"/>
    <w:rsid w:val="003F110B"/>
    <w:rsid w:val="004219F6"/>
    <w:rsid w:val="0046018F"/>
    <w:rsid w:val="00466876"/>
    <w:rsid w:val="004778A3"/>
    <w:rsid w:val="004C035C"/>
    <w:rsid w:val="00526940"/>
    <w:rsid w:val="00530EEE"/>
    <w:rsid w:val="00562860"/>
    <w:rsid w:val="00580E5A"/>
    <w:rsid w:val="005A18F8"/>
    <w:rsid w:val="006A4E32"/>
    <w:rsid w:val="0077444B"/>
    <w:rsid w:val="0080737A"/>
    <w:rsid w:val="008332B0"/>
    <w:rsid w:val="008370B3"/>
    <w:rsid w:val="00843678"/>
    <w:rsid w:val="00845BAC"/>
    <w:rsid w:val="008A24C0"/>
    <w:rsid w:val="008C3886"/>
    <w:rsid w:val="00900E9C"/>
    <w:rsid w:val="009769DA"/>
    <w:rsid w:val="009E5225"/>
    <w:rsid w:val="00A60030"/>
    <w:rsid w:val="00AB6FAA"/>
    <w:rsid w:val="00AC5947"/>
    <w:rsid w:val="00AE7A1E"/>
    <w:rsid w:val="00B04171"/>
    <w:rsid w:val="00B438FD"/>
    <w:rsid w:val="00B501DB"/>
    <w:rsid w:val="00B62BFD"/>
    <w:rsid w:val="00BF070B"/>
    <w:rsid w:val="00C43672"/>
    <w:rsid w:val="00C51C87"/>
    <w:rsid w:val="00CF7E66"/>
    <w:rsid w:val="00D017B5"/>
    <w:rsid w:val="00D4776B"/>
    <w:rsid w:val="00D547D4"/>
    <w:rsid w:val="00D618C5"/>
    <w:rsid w:val="00D64649"/>
    <w:rsid w:val="00D805FA"/>
    <w:rsid w:val="00D8423F"/>
    <w:rsid w:val="00DF27A4"/>
    <w:rsid w:val="00E01B6A"/>
    <w:rsid w:val="00E36AD7"/>
    <w:rsid w:val="00E779BB"/>
    <w:rsid w:val="00EA4D0E"/>
    <w:rsid w:val="00F25B37"/>
    <w:rsid w:val="00F4280D"/>
    <w:rsid w:val="00F6228C"/>
    <w:rsid w:val="00FA61F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javier gmz</cp:lastModifiedBy>
  <cp:revision>5</cp:revision>
  <dcterms:created xsi:type="dcterms:W3CDTF">2019-10-31T19:45:00Z</dcterms:created>
  <dcterms:modified xsi:type="dcterms:W3CDTF">2019-12-05T07:07:00Z</dcterms:modified>
</cp:coreProperties>
</file>