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D" w:rsidRPr="006C1A2D" w:rsidRDefault="004C2B8D" w:rsidP="004C2B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HONORABLE AYUNTAMIENTO CONSTITUCIONAL</w:t>
      </w:r>
    </w:p>
    <w:p w:rsidR="006C1A2D" w:rsidRPr="004C2B8D" w:rsidRDefault="004C2B8D" w:rsidP="004C2B8D">
      <w:pPr>
        <w:jc w:val="both"/>
        <w:rPr>
          <w:rFonts w:ascii="Arial" w:hAnsi="Arial" w:cs="Arial"/>
          <w:b/>
          <w:lang w:val="es-MX"/>
        </w:rPr>
      </w:pPr>
      <w:r w:rsidRPr="004C2B8D">
        <w:rPr>
          <w:rFonts w:ascii="Arial" w:hAnsi="Arial" w:cs="Arial"/>
          <w:b/>
          <w:lang w:val="es-MX"/>
        </w:rPr>
        <w:t>DE ZAPOTLÁN EL GRANDE, JALISCO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 w:rsidRPr="006C1A2D">
        <w:rPr>
          <w:rFonts w:ascii="Arial" w:hAnsi="Arial" w:cs="Arial"/>
          <w:b/>
          <w:lang w:val="es-MX"/>
        </w:rPr>
        <w:t>P R E S E</w:t>
      </w:r>
      <w:r w:rsidR="004C2B8D">
        <w:rPr>
          <w:rFonts w:ascii="Arial" w:hAnsi="Arial" w:cs="Arial"/>
          <w:b/>
          <w:lang w:val="es-MX"/>
        </w:rPr>
        <w:t xml:space="preserve"> N T E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E33FC6" w:rsidRPr="005B5FE0" w:rsidRDefault="004C2B8D" w:rsidP="004C2B8D">
      <w:pPr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0E2547">
        <w:rPr>
          <w:rFonts w:ascii="Arial" w:hAnsi="Arial" w:cs="Arial"/>
          <w:b/>
          <w:lang w:val="es-ES"/>
        </w:rPr>
        <w:t xml:space="preserve">QUE PROPONE </w:t>
      </w:r>
      <w:r w:rsidR="0009120E">
        <w:rPr>
          <w:rFonts w:ascii="Arial" w:hAnsi="Arial" w:cs="Arial"/>
          <w:b/>
          <w:lang w:val="es-ES"/>
        </w:rPr>
        <w:t>AUTORIZACIÓN PARA ACEPTAR EN DONACIÓN VARIOS BIENES MUEBLES Y DARLOS DE ALTA EN EL INVENTARIO DE PATRIMONIO MUNICIPAL</w:t>
      </w:r>
      <w:r w:rsidR="00E33FC6" w:rsidRPr="005B5FE0">
        <w:rPr>
          <w:rFonts w:ascii="Arial" w:hAnsi="Arial" w:cs="Arial"/>
          <w:lang w:val="es-ES"/>
        </w:rPr>
        <w:t xml:space="preserve"> de conformidad con la siguiente</w:t>
      </w:r>
      <w:r w:rsidR="001A09D7">
        <w:rPr>
          <w:rFonts w:ascii="Arial" w:hAnsi="Arial" w:cs="Arial"/>
          <w:lang w:val="es-ES"/>
        </w:rPr>
        <w:t>:</w:t>
      </w: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5A62B4" w:rsidRPr="005B5FE0" w:rsidRDefault="004D6E4D" w:rsidP="004C2B8D">
      <w:pPr>
        <w:jc w:val="center"/>
        <w:rPr>
          <w:rFonts w:ascii="Arial" w:hAnsi="Arial" w:cs="Arial"/>
          <w:b/>
          <w:lang w:val="es-ES"/>
        </w:rPr>
      </w:pPr>
      <w:r w:rsidRPr="005B5FE0">
        <w:rPr>
          <w:rFonts w:ascii="Arial" w:hAnsi="Arial" w:cs="Arial"/>
          <w:b/>
          <w:lang w:val="es-ES"/>
        </w:rPr>
        <w:t>E X P O S I C I Ó N   D E   M O T I V O S</w:t>
      </w:r>
      <w:r w:rsidR="005A62B4" w:rsidRPr="005B5FE0">
        <w:rPr>
          <w:rFonts w:ascii="Arial" w:hAnsi="Arial" w:cs="Arial"/>
          <w:b/>
          <w:lang w:val="es-ES"/>
        </w:rPr>
        <w:t>:</w:t>
      </w:r>
    </w:p>
    <w:p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>, teniendo como base de su división territorial y de 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145427" w:rsidRDefault="00033755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>Mediante oficio</w:t>
      </w:r>
      <w:r w:rsidR="00CF78CF">
        <w:rPr>
          <w:rFonts w:ascii="Arial" w:hAnsi="Arial" w:cs="Arial"/>
          <w:lang w:val="es-ES"/>
        </w:rPr>
        <w:t>s</w:t>
      </w:r>
      <w:r w:rsidR="00FF40CA" w:rsidRPr="00FF40CA">
        <w:rPr>
          <w:rFonts w:ascii="Arial" w:hAnsi="Arial" w:cs="Arial"/>
          <w:lang w:val="es-ES"/>
        </w:rPr>
        <w:t xml:space="preserve"> número </w:t>
      </w:r>
      <w:r w:rsidR="00B177F3">
        <w:rPr>
          <w:rFonts w:ascii="Arial" w:hAnsi="Arial" w:cs="Arial"/>
          <w:lang w:val="es-ES"/>
        </w:rPr>
        <w:t>0</w:t>
      </w:r>
      <w:r w:rsidR="00CF78CF">
        <w:rPr>
          <w:rFonts w:ascii="Arial" w:hAnsi="Arial" w:cs="Arial"/>
          <w:lang w:val="es-ES"/>
        </w:rPr>
        <w:t>301</w:t>
      </w:r>
      <w:r w:rsidR="00FF40CA" w:rsidRPr="00FF40CA">
        <w:rPr>
          <w:rFonts w:ascii="Arial" w:hAnsi="Arial" w:cs="Arial"/>
          <w:lang w:val="es-ES"/>
        </w:rPr>
        <w:t>/201</w:t>
      </w:r>
      <w:r w:rsidR="00537525">
        <w:rPr>
          <w:rFonts w:ascii="Arial" w:hAnsi="Arial" w:cs="Arial"/>
          <w:lang w:val="es-ES"/>
        </w:rPr>
        <w:t>9</w:t>
      </w:r>
      <w:r w:rsidR="00FF40CA" w:rsidRPr="00FF40CA">
        <w:rPr>
          <w:rFonts w:ascii="Arial" w:hAnsi="Arial" w:cs="Arial"/>
          <w:lang w:val="es-ES"/>
        </w:rPr>
        <w:t xml:space="preserve"> de fecha </w:t>
      </w:r>
      <w:r w:rsidR="00537525">
        <w:rPr>
          <w:rFonts w:ascii="Arial" w:hAnsi="Arial" w:cs="Arial"/>
          <w:lang w:val="es-ES"/>
        </w:rPr>
        <w:t>29</w:t>
      </w:r>
      <w:r w:rsidR="00FF40CA" w:rsidRPr="00FF40CA">
        <w:rPr>
          <w:rFonts w:ascii="Arial" w:hAnsi="Arial" w:cs="Arial"/>
          <w:lang w:val="es-ES"/>
        </w:rPr>
        <w:t xml:space="preserve"> de</w:t>
      </w:r>
      <w:r w:rsidR="00B177F3">
        <w:rPr>
          <w:rFonts w:ascii="Arial" w:hAnsi="Arial" w:cs="Arial"/>
          <w:lang w:val="es-ES"/>
        </w:rPr>
        <w:t xml:space="preserve"> </w:t>
      </w:r>
      <w:r w:rsidR="00537525">
        <w:rPr>
          <w:rFonts w:ascii="Arial" w:hAnsi="Arial" w:cs="Arial"/>
          <w:lang w:val="es-ES"/>
        </w:rPr>
        <w:t>agosto</w:t>
      </w:r>
      <w:r w:rsidR="00FF40CA" w:rsidRPr="00FF40CA">
        <w:rPr>
          <w:rFonts w:ascii="Arial" w:hAnsi="Arial" w:cs="Arial"/>
          <w:lang w:val="es-ES"/>
        </w:rPr>
        <w:t xml:space="preserve"> d</w:t>
      </w:r>
      <w:r w:rsidR="00B177F3">
        <w:rPr>
          <w:rFonts w:ascii="Arial" w:hAnsi="Arial" w:cs="Arial"/>
          <w:lang w:val="es-ES"/>
        </w:rPr>
        <w:t>el 201</w:t>
      </w:r>
      <w:r w:rsidR="00537525">
        <w:rPr>
          <w:rFonts w:ascii="Arial" w:hAnsi="Arial" w:cs="Arial"/>
          <w:lang w:val="es-ES"/>
        </w:rPr>
        <w:t>9</w:t>
      </w:r>
      <w:r w:rsidR="00FF40CA" w:rsidRPr="00FF40CA">
        <w:rPr>
          <w:rFonts w:ascii="Arial" w:hAnsi="Arial" w:cs="Arial"/>
          <w:lang w:val="es-ES"/>
        </w:rPr>
        <w:t>,</w:t>
      </w:r>
      <w:r w:rsidR="00CF78CF">
        <w:rPr>
          <w:rFonts w:ascii="Arial" w:hAnsi="Arial" w:cs="Arial"/>
          <w:lang w:val="es-ES"/>
        </w:rPr>
        <w:t xml:space="preserve"> y 0314/2019 de f</w:t>
      </w:r>
      <w:r w:rsidR="00145427">
        <w:rPr>
          <w:rFonts w:ascii="Arial" w:hAnsi="Arial" w:cs="Arial"/>
          <w:lang w:val="es-ES"/>
        </w:rPr>
        <w:t xml:space="preserve">echa 09 de septiembre del 2019, </w:t>
      </w:r>
      <w:r w:rsidR="00FF40CA" w:rsidRPr="00FF40CA">
        <w:rPr>
          <w:rFonts w:ascii="Arial" w:hAnsi="Arial" w:cs="Arial"/>
          <w:lang w:val="es-ES"/>
        </w:rPr>
        <w:t>la Jefe de Patrimonio Municipal</w:t>
      </w:r>
      <w:r w:rsidR="00537525">
        <w:rPr>
          <w:rFonts w:ascii="Arial" w:hAnsi="Arial" w:cs="Arial"/>
          <w:lang w:val="es-ES"/>
        </w:rPr>
        <w:t xml:space="preserve"> la Lic. Lucía Toscano Victorio</w:t>
      </w:r>
      <w:r w:rsidR="00FF40CA" w:rsidRPr="00FF40CA">
        <w:rPr>
          <w:rFonts w:ascii="Arial" w:hAnsi="Arial" w:cs="Arial"/>
          <w:lang w:val="es-ES"/>
        </w:rPr>
        <w:t xml:space="preserve">, solicita a la Presidenta de la H. Comisión Edilicia Permanente de Hacienda Pública y de Patrimonio Municipal, </w:t>
      </w:r>
      <w:r w:rsidR="00F565A4">
        <w:rPr>
          <w:rFonts w:ascii="Arial" w:hAnsi="Arial" w:cs="Arial"/>
          <w:b/>
          <w:u w:val="single"/>
          <w:lang w:val="es-ES"/>
        </w:rPr>
        <w:t>dar de alta en el inventario del patrimonio Municipal, 12 bicicletas y 12 cascos</w:t>
      </w:r>
      <w:r w:rsidR="00BB4B45">
        <w:rPr>
          <w:rFonts w:ascii="Arial" w:hAnsi="Arial" w:cs="Arial"/>
          <w:lang w:val="es-ES"/>
        </w:rPr>
        <w:t xml:space="preserve">, </w:t>
      </w:r>
      <w:r w:rsidR="00F565A4">
        <w:rPr>
          <w:rFonts w:ascii="Arial" w:hAnsi="Arial" w:cs="Arial"/>
          <w:lang w:val="es-ES"/>
        </w:rPr>
        <w:t xml:space="preserve">que </w:t>
      </w:r>
      <w:r w:rsidR="00537525">
        <w:rPr>
          <w:rFonts w:ascii="Arial" w:hAnsi="Arial" w:cs="Arial"/>
          <w:lang w:val="es-ES"/>
        </w:rPr>
        <w:t xml:space="preserve">han </w:t>
      </w:r>
      <w:r w:rsidR="00F565A4">
        <w:rPr>
          <w:rFonts w:ascii="Arial" w:hAnsi="Arial" w:cs="Arial"/>
          <w:lang w:val="es-ES"/>
        </w:rPr>
        <w:t>sido dona</w:t>
      </w:r>
      <w:r w:rsidR="00EA2549">
        <w:rPr>
          <w:rFonts w:ascii="Arial" w:hAnsi="Arial" w:cs="Arial"/>
          <w:lang w:val="es-ES"/>
        </w:rPr>
        <w:t>d</w:t>
      </w:r>
      <w:r w:rsidR="00F565A4">
        <w:rPr>
          <w:rFonts w:ascii="Arial" w:hAnsi="Arial" w:cs="Arial"/>
          <w:lang w:val="es-ES"/>
        </w:rPr>
        <w:t>os</w:t>
      </w:r>
      <w:r w:rsidR="00CF78CF">
        <w:rPr>
          <w:rFonts w:ascii="Arial" w:hAnsi="Arial" w:cs="Arial"/>
          <w:lang w:val="es-ES"/>
        </w:rPr>
        <w:t xml:space="preserve"> por la empresa Project </w:t>
      </w:r>
      <w:proofErr w:type="spellStart"/>
      <w:r w:rsidR="00CF78CF" w:rsidRPr="00413C69">
        <w:rPr>
          <w:rFonts w:ascii="Arial" w:hAnsi="Arial" w:cs="Arial"/>
          <w:lang w:val="es-ES"/>
        </w:rPr>
        <w:t>Development</w:t>
      </w:r>
      <w:proofErr w:type="spellEnd"/>
      <w:r w:rsidR="00CF78CF" w:rsidRPr="00413C69">
        <w:rPr>
          <w:rFonts w:ascii="Arial" w:hAnsi="Arial" w:cs="Arial"/>
          <w:lang w:val="es-ES"/>
        </w:rPr>
        <w:t xml:space="preserve"> S.A. de C.V. </w:t>
      </w:r>
      <w:r w:rsidR="00145427">
        <w:rPr>
          <w:rFonts w:ascii="Arial" w:hAnsi="Arial" w:cs="Arial"/>
          <w:lang w:val="es-ES"/>
        </w:rPr>
        <w:t xml:space="preserve">y que están asignados en su totalidad a Seguridad </w:t>
      </w:r>
      <w:r w:rsidR="00EF31F4">
        <w:rPr>
          <w:rFonts w:ascii="Arial" w:hAnsi="Arial" w:cs="Arial"/>
          <w:lang w:val="es-ES"/>
        </w:rPr>
        <w:t>Pública</w:t>
      </w:r>
      <w:r w:rsidR="00145427">
        <w:rPr>
          <w:rFonts w:ascii="Arial" w:hAnsi="Arial" w:cs="Arial"/>
          <w:lang w:val="es-ES"/>
        </w:rPr>
        <w:t xml:space="preserve"> Municipal</w:t>
      </w:r>
      <w:r w:rsidR="00537525" w:rsidRPr="00413C69">
        <w:rPr>
          <w:rFonts w:ascii="Arial" w:hAnsi="Arial" w:cs="Arial"/>
          <w:lang w:val="es-ES"/>
        </w:rPr>
        <w:t>:</w:t>
      </w:r>
    </w:p>
    <w:p w:rsidR="00145427" w:rsidRDefault="00145427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145427" w:rsidTr="00145427">
        <w:tc>
          <w:tcPr>
            <w:tcW w:w="4697" w:type="dxa"/>
          </w:tcPr>
          <w:p w:rsidR="00145427" w:rsidRDefault="00145427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 xml:space="preserve">12 BICICLETAS MARCA </w:t>
            </w:r>
            <w:r w:rsidRPr="00413C69">
              <w:rPr>
                <w:rFonts w:ascii="Arial" w:hAnsi="Arial" w:cs="Arial"/>
                <w:b/>
                <w:sz w:val="22"/>
                <w:szCs w:val="22"/>
                <w:u w:val="single"/>
              </w:rPr>
              <w:t>GIANT.</w:t>
            </w:r>
            <w:r w:rsidRPr="00413C69">
              <w:rPr>
                <w:rFonts w:ascii="Arial" w:hAnsi="Arial" w:cs="Arial"/>
                <w:sz w:val="22"/>
                <w:szCs w:val="22"/>
              </w:rPr>
              <w:t xml:space="preserve"> NO CONSUMIBLES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CUADRO ALUXX- ALUMINIUM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TALLA M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COLOR AZUL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RODADO 27.5 X 2.25</w:t>
            </w:r>
          </w:p>
          <w:p w:rsidR="00145427" w:rsidRPr="00413C69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NUMEROS DE SERIE: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01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CACD3358</w:t>
            </w:r>
          </w:p>
          <w:p w:rsidR="00145427" w:rsidRPr="00413C69" w:rsidRDefault="00145427" w:rsidP="00145427">
            <w:pPr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</w:pPr>
            <w:r w:rsidRPr="00413C69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02</w:t>
            </w:r>
            <w:r w:rsidRPr="00413C69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ab/>
            </w:r>
            <w:r w:rsidRPr="00413C69">
              <w:rPr>
                <w:rFonts w:ascii="Arial" w:eastAsia="Times New Roman" w:hAnsi="Arial" w:cs="Arial"/>
                <w:b/>
                <w:sz w:val="22"/>
                <w:szCs w:val="22"/>
                <w:lang w:eastAsia="es-MX"/>
              </w:rPr>
              <w:t>C2BL7977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03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C3BC2491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04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62BL2344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05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62BL2581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06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62BL2499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07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62BL2501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08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</w:r>
            <w:r w:rsidRPr="00413C69">
              <w:rPr>
                <w:rFonts w:ascii="Arial" w:hAnsi="Arial" w:cs="Arial"/>
                <w:b/>
                <w:sz w:val="22"/>
                <w:szCs w:val="22"/>
              </w:rPr>
              <w:t>CIBL8172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09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CACD1732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10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CACD1715</w:t>
            </w:r>
          </w:p>
          <w:p w:rsidR="00145427" w:rsidRPr="00413C69" w:rsidRDefault="00145427" w:rsidP="00145427">
            <w:pPr>
              <w:rPr>
                <w:rFonts w:ascii="Arial" w:hAnsi="Arial" w:cs="Arial"/>
                <w:sz w:val="22"/>
                <w:szCs w:val="22"/>
              </w:rPr>
            </w:pPr>
            <w:r w:rsidRPr="00413C69">
              <w:rPr>
                <w:rFonts w:ascii="Arial" w:hAnsi="Arial" w:cs="Arial"/>
                <w:sz w:val="22"/>
                <w:szCs w:val="22"/>
              </w:rPr>
              <w:t>11</w:t>
            </w:r>
            <w:r w:rsidRPr="00413C69">
              <w:rPr>
                <w:rFonts w:ascii="Arial" w:hAnsi="Arial" w:cs="Arial"/>
                <w:sz w:val="22"/>
                <w:szCs w:val="22"/>
              </w:rPr>
              <w:tab/>
              <w:t>CACD3344</w:t>
            </w:r>
          </w:p>
          <w:p w:rsidR="00145427" w:rsidRPr="00145427" w:rsidRDefault="00145427" w:rsidP="00145427">
            <w:pPr>
              <w:rPr>
                <w:rFonts w:ascii="Arial" w:hAnsi="Arial" w:cs="Arial"/>
              </w:rPr>
            </w:pPr>
            <w:r w:rsidRPr="00413C69">
              <w:rPr>
                <w:rFonts w:ascii="Arial" w:hAnsi="Arial" w:cs="Arial"/>
              </w:rPr>
              <w:t>12</w:t>
            </w:r>
            <w:r w:rsidRPr="00413C69">
              <w:rPr>
                <w:rFonts w:ascii="Arial" w:hAnsi="Arial" w:cs="Arial"/>
              </w:rPr>
              <w:tab/>
              <w:t>CACD3211</w:t>
            </w:r>
          </w:p>
        </w:tc>
        <w:tc>
          <w:tcPr>
            <w:tcW w:w="4698" w:type="dxa"/>
          </w:tcPr>
          <w:p w:rsidR="00145427" w:rsidRDefault="00145427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159BAB13">
                  <wp:extent cx="2670175" cy="1999615"/>
                  <wp:effectExtent l="0" t="0" r="0" b="63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427" w:rsidTr="00145427">
        <w:tc>
          <w:tcPr>
            <w:tcW w:w="4697" w:type="dxa"/>
          </w:tcPr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 cascos</w:t>
            </w: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1454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  <w:p w:rsidR="00145427" w:rsidRDefault="00145427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698" w:type="dxa"/>
          </w:tcPr>
          <w:p w:rsidR="00145427" w:rsidRDefault="00145427" w:rsidP="00FF4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 wp14:anchorId="75D52E4E">
                  <wp:extent cx="2798445" cy="1572895"/>
                  <wp:effectExtent l="0" t="0" r="1905" b="825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427" w:rsidRDefault="00145427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13C69" w:rsidRPr="00413C69" w:rsidRDefault="00413C69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13C69" w:rsidRDefault="00413C69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F5E30" w:rsidRDefault="004F5E30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424F1" w:rsidRDefault="002424F1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2424F1" w:rsidRDefault="00CF78CF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como</w:t>
      </w:r>
      <w:r w:rsidR="00145427">
        <w:rPr>
          <w:rFonts w:ascii="Arial" w:hAnsi="Arial" w:cs="Arial"/>
          <w:lang w:val="es-ES"/>
        </w:rPr>
        <w:t xml:space="preserve"> </w:t>
      </w:r>
      <w:r w:rsidR="00145427" w:rsidRPr="00145427">
        <w:rPr>
          <w:rFonts w:ascii="Arial" w:hAnsi="Arial" w:cs="Arial"/>
          <w:b/>
          <w:u w:val="single"/>
          <w:lang w:val="es-ES"/>
        </w:rPr>
        <w:t xml:space="preserve">dar de alta </w:t>
      </w:r>
      <w:r w:rsidR="00145427">
        <w:rPr>
          <w:rFonts w:ascii="Arial" w:hAnsi="Arial" w:cs="Arial"/>
          <w:b/>
          <w:u w:val="single"/>
          <w:lang w:val="es-ES"/>
        </w:rPr>
        <w:t>en el inventario del patrimonio Municipal,</w:t>
      </w:r>
      <w:r w:rsidR="00145427">
        <w:rPr>
          <w:rFonts w:ascii="Arial" w:hAnsi="Arial" w:cs="Arial"/>
          <w:lang w:val="es-ES"/>
        </w:rPr>
        <w:t xml:space="preserve"> </w:t>
      </w:r>
      <w:r w:rsidR="005A5217">
        <w:rPr>
          <w:rFonts w:ascii="Arial" w:hAnsi="Arial" w:cs="Arial"/>
          <w:lang w:val="es-ES"/>
        </w:rPr>
        <w:t>la totalidad de bienes</w:t>
      </w:r>
      <w:r>
        <w:rPr>
          <w:rFonts w:ascii="Arial" w:hAnsi="Arial" w:cs="Arial"/>
          <w:lang w:val="es-ES"/>
        </w:rPr>
        <w:t xml:space="preserve"> donados por las empresas FMC </w:t>
      </w:r>
      <w:proofErr w:type="spellStart"/>
      <w:r>
        <w:rPr>
          <w:rFonts w:ascii="Arial" w:hAnsi="Arial" w:cs="Arial"/>
          <w:lang w:val="es-ES"/>
        </w:rPr>
        <w:t>Agroquimica</w:t>
      </w:r>
      <w:proofErr w:type="spellEnd"/>
      <w:r w:rsidR="00413C69">
        <w:rPr>
          <w:rFonts w:ascii="Arial" w:hAnsi="Arial" w:cs="Arial"/>
          <w:lang w:val="es-ES"/>
        </w:rPr>
        <w:t xml:space="preserve">, </w:t>
      </w:r>
      <w:proofErr w:type="spellStart"/>
      <w:r w:rsidR="00413C69">
        <w:rPr>
          <w:rFonts w:ascii="Arial" w:hAnsi="Arial" w:cs="Arial"/>
          <w:lang w:val="es-ES"/>
        </w:rPr>
        <w:t>Valagro</w:t>
      </w:r>
      <w:proofErr w:type="spellEnd"/>
      <w:r w:rsidR="00413C69">
        <w:rPr>
          <w:rFonts w:ascii="Arial" w:hAnsi="Arial" w:cs="Arial"/>
          <w:lang w:val="es-ES"/>
        </w:rPr>
        <w:t xml:space="preserve">, </w:t>
      </w:r>
      <w:proofErr w:type="spellStart"/>
      <w:r w:rsidR="00413C69">
        <w:rPr>
          <w:rFonts w:ascii="Arial" w:hAnsi="Arial" w:cs="Arial"/>
          <w:lang w:val="es-ES"/>
        </w:rPr>
        <w:t>Hor</w:t>
      </w:r>
      <w:r w:rsidR="00145427">
        <w:rPr>
          <w:rFonts w:ascii="Arial" w:hAnsi="Arial" w:cs="Arial"/>
          <w:lang w:val="es-ES"/>
        </w:rPr>
        <w:t>titec</w:t>
      </w:r>
      <w:proofErr w:type="spellEnd"/>
      <w:r w:rsidR="00145427">
        <w:rPr>
          <w:rFonts w:ascii="Arial" w:hAnsi="Arial" w:cs="Arial"/>
          <w:lang w:val="es-ES"/>
        </w:rPr>
        <w:t xml:space="preserve"> </w:t>
      </w:r>
      <w:proofErr w:type="spellStart"/>
      <w:r w:rsidR="00145427">
        <w:rPr>
          <w:rFonts w:ascii="Arial" w:hAnsi="Arial" w:cs="Arial"/>
          <w:lang w:val="es-ES"/>
        </w:rPr>
        <w:t>international</w:t>
      </w:r>
      <w:proofErr w:type="spellEnd"/>
      <w:r w:rsidR="00145427">
        <w:rPr>
          <w:rFonts w:ascii="Arial" w:hAnsi="Arial" w:cs="Arial"/>
          <w:lang w:val="es-ES"/>
        </w:rPr>
        <w:t xml:space="preserve"> S.A. de C.V. y </w:t>
      </w:r>
      <w:proofErr w:type="spellStart"/>
      <w:r w:rsidR="00145427">
        <w:rPr>
          <w:rFonts w:ascii="Arial" w:hAnsi="Arial" w:cs="Arial"/>
          <w:lang w:val="es-ES"/>
        </w:rPr>
        <w:t>Gowan</w:t>
      </w:r>
      <w:proofErr w:type="spellEnd"/>
      <w:r w:rsidR="00145427">
        <w:rPr>
          <w:rFonts w:ascii="Arial" w:hAnsi="Arial" w:cs="Arial"/>
          <w:lang w:val="es-ES"/>
        </w:rPr>
        <w:t xml:space="preserve"> Mexicana S.A.P.I de C.V.</w:t>
      </w:r>
      <w:r w:rsidR="00031967">
        <w:rPr>
          <w:rFonts w:ascii="Arial" w:hAnsi="Arial" w:cs="Arial"/>
          <w:lang w:val="es-ES"/>
        </w:rPr>
        <w:t xml:space="preserve"> </w:t>
      </w:r>
      <w:r w:rsidR="005A5217">
        <w:rPr>
          <w:rFonts w:ascii="Arial" w:hAnsi="Arial" w:cs="Arial"/>
          <w:lang w:val="es-ES"/>
        </w:rPr>
        <w:t>y que se describen</w:t>
      </w:r>
      <w:r w:rsidR="00031967">
        <w:rPr>
          <w:rFonts w:ascii="Arial" w:hAnsi="Arial" w:cs="Arial"/>
          <w:lang w:val="es-ES"/>
        </w:rPr>
        <w:t xml:space="preserve"> en el cuadro siguiente</w:t>
      </w:r>
      <w:r w:rsidR="005A5217">
        <w:rPr>
          <w:rFonts w:ascii="Arial" w:hAnsi="Arial" w:cs="Arial"/>
          <w:lang w:val="es-ES"/>
        </w:rPr>
        <w:t xml:space="preserve">, </w:t>
      </w:r>
      <w:r w:rsidR="006D0000">
        <w:rPr>
          <w:rFonts w:ascii="Arial" w:hAnsi="Arial" w:cs="Arial"/>
          <w:lang w:val="es-ES"/>
        </w:rPr>
        <w:t>así</w:t>
      </w:r>
      <w:r w:rsidR="005A5217">
        <w:rPr>
          <w:rFonts w:ascii="Arial" w:hAnsi="Arial" w:cs="Arial"/>
          <w:lang w:val="es-ES"/>
        </w:rPr>
        <w:t xml:space="preserve"> como la asignación que se hace de ellos</w:t>
      </w:r>
      <w:r w:rsidR="00145427">
        <w:rPr>
          <w:rFonts w:ascii="Arial" w:hAnsi="Arial" w:cs="Arial"/>
          <w:lang w:val="es-ES"/>
        </w:rPr>
        <w:t>:</w:t>
      </w:r>
    </w:p>
    <w:p w:rsidR="00145427" w:rsidRDefault="00145427" w:rsidP="00FF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92327" w:rsidRDefault="001454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145427">
        <w:drawing>
          <wp:inline distT="0" distB="0" distL="0" distR="0">
            <wp:extent cx="5972175" cy="468692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6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427" w:rsidRDefault="001454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145427" w:rsidRDefault="00145427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629D1" w:rsidRPr="00897824" w:rsidRDefault="0001638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i/>
          <w:u w:val="single"/>
          <w:lang w:val="es-MX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Revisados y analizados </w:t>
      </w:r>
      <w:r w:rsidR="001064D0">
        <w:rPr>
          <w:rFonts w:ascii="Arial" w:hAnsi="Arial" w:cs="Arial"/>
          <w:lang w:val="es-ES"/>
        </w:rPr>
        <w:t xml:space="preserve">en Sesión </w:t>
      </w:r>
      <w:r w:rsidR="006612A1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número </w:t>
      </w:r>
      <w:r w:rsidR="00914675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914675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de </w:t>
      </w:r>
      <w:r w:rsidR="00914675">
        <w:rPr>
          <w:rFonts w:ascii="Arial" w:hAnsi="Arial" w:cs="Arial"/>
          <w:lang w:val="es-ES"/>
        </w:rPr>
        <w:t>septiembre</w:t>
      </w:r>
      <w:r w:rsidR="001064D0">
        <w:rPr>
          <w:rFonts w:ascii="Arial" w:hAnsi="Arial" w:cs="Arial"/>
          <w:lang w:val="es-ES"/>
        </w:rPr>
        <w:t xml:space="preserve"> del año 201</w:t>
      </w:r>
      <w:r w:rsidR="00974E4B">
        <w:rPr>
          <w:rFonts w:ascii="Arial" w:hAnsi="Arial" w:cs="Arial"/>
          <w:lang w:val="es-ES"/>
        </w:rPr>
        <w:t>9</w:t>
      </w:r>
      <w:r w:rsidR="001064D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los docu</w:t>
      </w:r>
      <w:r w:rsidR="00DF797B">
        <w:rPr>
          <w:rFonts w:ascii="Arial" w:hAnsi="Arial" w:cs="Arial"/>
          <w:lang w:val="es-ES"/>
        </w:rPr>
        <w:t>mentos anexos a los</w:t>
      </w:r>
      <w:r w:rsidR="007B3B52">
        <w:rPr>
          <w:rFonts w:ascii="Arial" w:hAnsi="Arial" w:cs="Arial"/>
          <w:lang w:val="es-ES"/>
        </w:rPr>
        <w:t xml:space="preserve"> oficio</w:t>
      </w:r>
      <w:r w:rsidR="00DF797B">
        <w:rPr>
          <w:rFonts w:ascii="Arial" w:hAnsi="Arial" w:cs="Arial"/>
          <w:lang w:val="es-ES"/>
        </w:rPr>
        <w:t>s</w:t>
      </w:r>
      <w:r w:rsidR="007B3B52">
        <w:rPr>
          <w:rFonts w:ascii="Arial" w:hAnsi="Arial" w:cs="Arial"/>
          <w:lang w:val="es-ES"/>
        </w:rPr>
        <w:t xml:space="preserve"> girado</w:t>
      </w:r>
      <w:r w:rsidR="00DF797B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por la Jefe de Patrimonio Municipal, </w:t>
      </w:r>
      <w:r w:rsidR="00FA5AB7">
        <w:rPr>
          <w:rFonts w:ascii="Arial" w:hAnsi="Arial" w:cs="Arial"/>
          <w:lang w:val="es-ES"/>
        </w:rPr>
        <w:t xml:space="preserve">se considera pertinente </w:t>
      </w:r>
      <w:r w:rsidR="003E1595">
        <w:rPr>
          <w:rFonts w:ascii="Arial" w:hAnsi="Arial" w:cs="Arial"/>
          <w:lang w:val="es-ES"/>
        </w:rPr>
        <w:t xml:space="preserve">aceptar la donación y </w:t>
      </w:r>
      <w:r w:rsidR="00FA5AB7">
        <w:rPr>
          <w:rFonts w:ascii="Arial" w:hAnsi="Arial" w:cs="Arial"/>
          <w:lang w:val="es-ES"/>
        </w:rPr>
        <w:t xml:space="preserve">dar de </w:t>
      </w:r>
      <w:r w:rsidR="00DA4D2A">
        <w:rPr>
          <w:rFonts w:ascii="Arial" w:hAnsi="Arial" w:cs="Arial"/>
          <w:lang w:val="es-ES"/>
        </w:rPr>
        <w:t>alta</w:t>
      </w:r>
      <w:r w:rsidR="006A2564">
        <w:rPr>
          <w:rFonts w:ascii="Arial" w:hAnsi="Arial" w:cs="Arial"/>
          <w:lang w:val="es-ES"/>
        </w:rPr>
        <w:t xml:space="preserve"> </w:t>
      </w:r>
      <w:r w:rsidR="003A428B">
        <w:rPr>
          <w:rFonts w:ascii="Arial" w:hAnsi="Arial" w:cs="Arial"/>
          <w:lang w:val="es-ES"/>
        </w:rPr>
        <w:t>todos lo</w:t>
      </w:r>
      <w:r w:rsidR="00DA4D2A">
        <w:rPr>
          <w:rFonts w:ascii="Arial" w:hAnsi="Arial" w:cs="Arial"/>
          <w:lang w:val="es-ES"/>
        </w:rPr>
        <w:t xml:space="preserve">s bines descritos en </w:t>
      </w:r>
      <w:r w:rsidR="003A428B">
        <w:rPr>
          <w:rFonts w:ascii="Arial" w:hAnsi="Arial" w:cs="Arial"/>
          <w:lang w:val="es-ES"/>
        </w:rPr>
        <w:t>el numeral II de la exposición de motivos</w:t>
      </w:r>
      <w:r w:rsidR="001064D0">
        <w:rPr>
          <w:rFonts w:ascii="Arial" w:hAnsi="Arial" w:cs="Arial"/>
          <w:lang w:val="es-ES"/>
        </w:rPr>
        <w:t xml:space="preserve">, </w:t>
      </w:r>
      <w:r w:rsidR="00974E4B">
        <w:rPr>
          <w:rFonts w:ascii="Arial" w:hAnsi="Arial" w:cs="Arial"/>
          <w:lang w:val="es-ES"/>
        </w:rPr>
        <w:t xml:space="preserve">siendo procedente </w:t>
      </w:r>
      <w:r w:rsidR="00DA4D2A">
        <w:rPr>
          <w:rFonts w:ascii="Arial" w:hAnsi="Arial" w:cs="Arial"/>
          <w:lang w:val="es-ES"/>
        </w:rPr>
        <w:t>su ALTA en el</w:t>
      </w:r>
      <w:r w:rsidR="00914675">
        <w:rPr>
          <w:rFonts w:ascii="Arial" w:hAnsi="Arial" w:cs="Arial"/>
          <w:lang w:val="es-ES"/>
        </w:rPr>
        <w:t xml:space="preserve"> inventario de</w:t>
      </w:r>
      <w:r w:rsidR="00DA4D2A">
        <w:rPr>
          <w:rFonts w:ascii="Arial" w:hAnsi="Arial" w:cs="Arial"/>
          <w:lang w:val="es-ES"/>
        </w:rPr>
        <w:t>l Patrimonio de este Municipio.</w:t>
      </w:r>
    </w:p>
    <w:p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sesión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6C234D">
        <w:rPr>
          <w:rFonts w:ascii="Arial" w:hAnsi="Arial" w:cs="Arial"/>
          <w:lang w:val="es-ES"/>
        </w:rPr>
        <w:t>13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6C234D">
        <w:rPr>
          <w:rFonts w:ascii="Arial" w:hAnsi="Arial" w:cs="Arial"/>
          <w:lang w:val="es-ES"/>
        </w:rPr>
        <w:t>13</w:t>
      </w:r>
      <w:r>
        <w:rPr>
          <w:rFonts w:ascii="Arial" w:hAnsi="Arial" w:cs="Arial"/>
          <w:lang w:val="es-ES"/>
        </w:rPr>
        <w:t xml:space="preserve"> de </w:t>
      </w:r>
      <w:r w:rsidR="006C234D">
        <w:rPr>
          <w:rFonts w:ascii="Arial" w:hAnsi="Arial" w:cs="Arial"/>
          <w:lang w:val="es-ES"/>
        </w:rPr>
        <w:t>septiembre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974E4B">
        <w:rPr>
          <w:rFonts w:ascii="Arial" w:hAnsi="Arial" w:cs="Arial"/>
          <w:lang w:val="es-ES"/>
        </w:rPr>
        <w:t>05</w:t>
      </w:r>
      <w:r w:rsidR="001064D0">
        <w:rPr>
          <w:rFonts w:ascii="Arial" w:hAnsi="Arial" w:cs="Arial"/>
          <w:lang w:val="es-ES"/>
        </w:rPr>
        <w:t xml:space="preserve"> </w:t>
      </w:r>
      <w:r w:rsidR="00974E4B">
        <w:rPr>
          <w:rFonts w:ascii="Arial" w:hAnsi="Arial" w:cs="Arial"/>
          <w:lang w:val="es-ES"/>
        </w:rPr>
        <w:t>cinco</w:t>
      </w:r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:rsidR="00FB0BAD" w:rsidRDefault="00FB0BAD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FB0BAD" w:rsidRDefault="00FB0BAD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41653C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R E S O L U T I V O S:</w:t>
      </w:r>
    </w:p>
    <w:p w:rsidR="00997EF0" w:rsidRPr="00911263" w:rsidRDefault="00997EF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F53D2A" w:rsidRDefault="00B016DD" w:rsidP="00F5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B016DD">
        <w:rPr>
          <w:rFonts w:ascii="Arial" w:hAnsi="Arial" w:cs="Arial"/>
          <w:b/>
          <w:lang w:val="es-ES"/>
        </w:rPr>
        <w:lastRenderedPageBreak/>
        <w:t xml:space="preserve">PRIMERO.- </w:t>
      </w:r>
      <w:r w:rsidR="00F53D2A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F53D2A">
        <w:rPr>
          <w:rFonts w:ascii="Arial" w:hAnsi="Arial" w:cs="Arial"/>
          <w:lang w:val="es-ES"/>
        </w:rPr>
        <w:t>aceptar en donación</w:t>
      </w:r>
      <w:r w:rsidR="00F53D2A">
        <w:rPr>
          <w:rFonts w:ascii="Arial" w:hAnsi="Arial" w:cs="Arial"/>
          <w:lang w:val="es-ES"/>
        </w:rPr>
        <w:t>, los bienes muebles  descritos en el arábigo segundo de la parte expositiva de este dictamen, por las razones igualmente descritas anteriormente.</w:t>
      </w:r>
    </w:p>
    <w:p w:rsidR="006A225D" w:rsidRPr="0023078B" w:rsidRDefault="006A225D" w:rsidP="006A2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s-MX"/>
        </w:rPr>
      </w:pPr>
    </w:p>
    <w:p w:rsidR="00F53D2A" w:rsidRDefault="006A225D" w:rsidP="00F53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eastAsia="Arial" w:hAnsi="Arial" w:cs="Arial"/>
          <w:b/>
          <w:bCs/>
          <w:lang w:val="es-MX"/>
        </w:rPr>
        <w:t>S</w:t>
      </w:r>
      <w:r w:rsidR="000E76CD">
        <w:rPr>
          <w:rFonts w:ascii="Arial" w:eastAsia="Arial" w:hAnsi="Arial" w:cs="Arial"/>
          <w:b/>
          <w:bCs/>
          <w:lang w:val="es-MX"/>
        </w:rPr>
        <w:t>EGUNDO</w:t>
      </w:r>
      <w:r w:rsidR="0023078B">
        <w:rPr>
          <w:rFonts w:ascii="Arial" w:eastAsia="Arial" w:hAnsi="Arial" w:cs="Arial"/>
          <w:b/>
          <w:bCs/>
          <w:lang w:val="es-MX"/>
        </w:rPr>
        <w:t xml:space="preserve">.- </w:t>
      </w:r>
      <w:r w:rsidR="00F53D2A" w:rsidRPr="00917D14">
        <w:rPr>
          <w:rFonts w:ascii="Arial" w:hAnsi="Arial" w:cs="Arial"/>
          <w:lang w:val="es-ES"/>
        </w:rPr>
        <w:t xml:space="preserve">Se autoriza por el Pleno del Ayuntamiento del Municipio de Zapotlán el Grande, Jalisco; </w:t>
      </w:r>
      <w:r w:rsidR="00F53D2A">
        <w:rPr>
          <w:rFonts w:ascii="Arial" w:hAnsi="Arial" w:cs="Arial"/>
          <w:lang w:val="es-ES"/>
        </w:rPr>
        <w:t>dar de alta</w:t>
      </w:r>
      <w:r w:rsidR="00F53D2A" w:rsidRPr="006A225D">
        <w:rPr>
          <w:rFonts w:ascii="Arial" w:hAnsi="Arial" w:cs="Arial"/>
          <w:lang w:val="es-ES"/>
        </w:rPr>
        <w:t xml:space="preserve"> del inventario</w:t>
      </w:r>
      <w:r w:rsidR="00F53D2A">
        <w:rPr>
          <w:rFonts w:ascii="Arial" w:hAnsi="Arial" w:cs="Arial"/>
          <w:lang w:val="es-ES"/>
        </w:rPr>
        <w:t xml:space="preserve"> de Patrimonio Municipal, los bienes muebles  descritos en el arábigo segundo de la parte expositiva de este dictamen, por las razones igualmente descritas anteriormente.</w:t>
      </w:r>
    </w:p>
    <w:p w:rsidR="00974E4B" w:rsidRDefault="00974E4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A316ED" w:rsidRDefault="000E76CD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TERCERO</w:t>
      </w:r>
      <w:r w:rsidR="000123EB">
        <w:rPr>
          <w:rFonts w:ascii="Arial" w:hAnsi="Arial" w:cs="Arial"/>
          <w:b/>
          <w:lang w:val="es-ES"/>
        </w:rPr>
        <w:t xml:space="preserve">.- </w:t>
      </w:r>
      <w:r w:rsidR="00C54DB4">
        <w:rPr>
          <w:rFonts w:ascii="Arial" w:hAnsi="Arial" w:cs="Arial"/>
          <w:lang w:val="es-ES"/>
        </w:rPr>
        <w:t>Notifíquese el contenido del presente D</w:t>
      </w:r>
      <w:r w:rsidR="00C75308">
        <w:rPr>
          <w:rFonts w:ascii="Arial" w:hAnsi="Arial" w:cs="Arial"/>
          <w:lang w:val="es-ES"/>
        </w:rPr>
        <w:t>ictamen a</w:t>
      </w:r>
      <w:r w:rsidR="007C28CB">
        <w:rPr>
          <w:rFonts w:ascii="Arial" w:hAnsi="Arial" w:cs="Arial"/>
          <w:lang w:val="es-ES"/>
        </w:rPr>
        <w:t xml:space="preserve"> la</w:t>
      </w:r>
      <w:r w:rsidR="005329D8">
        <w:rPr>
          <w:rFonts w:ascii="Arial" w:hAnsi="Arial" w:cs="Arial"/>
          <w:lang w:val="es-ES"/>
        </w:rPr>
        <w:t xml:space="preserve"> Síndico Municipal</w:t>
      </w:r>
      <w:r>
        <w:rPr>
          <w:rFonts w:ascii="Arial" w:hAnsi="Arial" w:cs="Arial"/>
          <w:lang w:val="es-ES"/>
        </w:rPr>
        <w:t>,</w:t>
      </w:r>
      <w:r w:rsidR="005329D8">
        <w:rPr>
          <w:rFonts w:ascii="Arial" w:hAnsi="Arial" w:cs="Arial"/>
          <w:lang w:val="es-ES"/>
        </w:rPr>
        <w:t xml:space="preserve"> a la Jefe</w:t>
      </w:r>
      <w:r w:rsidR="00C54DB4">
        <w:rPr>
          <w:rFonts w:ascii="Arial" w:hAnsi="Arial" w:cs="Arial"/>
          <w:lang w:val="es-ES"/>
        </w:rPr>
        <w:t xml:space="preserve"> de</w:t>
      </w:r>
      <w:r w:rsidR="005329D8">
        <w:rPr>
          <w:rFonts w:ascii="Arial" w:hAnsi="Arial" w:cs="Arial"/>
          <w:lang w:val="es-ES"/>
        </w:rPr>
        <w:t>l Departamento de</w:t>
      </w:r>
      <w:r w:rsidR="00C54DB4">
        <w:rPr>
          <w:rFonts w:ascii="Arial" w:hAnsi="Arial" w:cs="Arial"/>
          <w:lang w:val="es-ES"/>
        </w:rPr>
        <w:t xml:space="preserve"> Patrimonio Municipal</w:t>
      </w:r>
      <w:r w:rsidR="005329D8">
        <w:rPr>
          <w:rFonts w:ascii="Arial" w:hAnsi="Arial" w:cs="Arial"/>
          <w:lang w:val="es-ES"/>
        </w:rPr>
        <w:t xml:space="preserve"> y al Encargado de la Hacienda Municipal,</w:t>
      </w:r>
      <w:r w:rsidR="00C54DB4">
        <w:rPr>
          <w:rFonts w:ascii="Arial" w:hAnsi="Arial" w:cs="Arial"/>
          <w:lang w:val="es-ES"/>
        </w:rPr>
        <w:t xml:space="preserve"> para los efectos legales a que haya lugar.</w:t>
      </w: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6A260B" w:rsidRDefault="006A260B" w:rsidP="00B772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B55A55" w:rsidRPr="00A316ED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lang w:val="es-MX"/>
        </w:rPr>
      </w:pPr>
      <w:r w:rsidRPr="00A316ED">
        <w:rPr>
          <w:rFonts w:ascii="Arial" w:hAnsi="Arial"/>
          <w:b/>
          <w:bCs/>
          <w:lang w:val="es-MX"/>
        </w:rPr>
        <w:t>ATENTAMENTE</w:t>
      </w:r>
    </w:p>
    <w:p w:rsidR="00B55A55" w:rsidRPr="00A316ED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lang w:val="es-MX"/>
        </w:rPr>
      </w:pPr>
      <w:r w:rsidRPr="00A316ED">
        <w:rPr>
          <w:rFonts w:ascii="Arial" w:hAnsi="Arial"/>
          <w:b/>
          <w:bCs/>
          <w:lang w:val="es-MX"/>
        </w:rPr>
        <w:t>SUFRAGIO EFECTIVO. NO REELACIÓN</w:t>
      </w:r>
    </w:p>
    <w:p w:rsidR="00B55A55" w:rsidRDefault="00B55A55" w:rsidP="00B55A55">
      <w:pPr>
        <w:pStyle w:val="Cuerpo"/>
        <w:spacing w:after="0"/>
        <w:jc w:val="center"/>
        <w:rPr>
          <w:rFonts w:ascii="Arial" w:hAnsi="Arial"/>
          <w:bCs/>
          <w:lang w:val="es-MX"/>
        </w:rPr>
      </w:pPr>
      <w:r w:rsidRPr="00A316ED">
        <w:rPr>
          <w:rFonts w:ascii="Arial" w:hAnsi="Arial"/>
          <w:bCs/>
          <w:lang w:val="es-MX"/>
        </w:rPr>
        <w:t xml:space="preserve">CIUDAD GUZMÁN, MUNICIPIO DE ZAPOTLÁN EL GRANDE, JALISCO, </w:t>
      </w:r>
      <w:r w:rsidR="00011F0C">
        <w:rPr>
          <w:rFonts w:ascii="Arial" w:hAnsi="Arial"/>
          <w:bCs/>
          <w:lang w:val="es-MX"/>
        </w:rPr>
        <w:t>SEPTIEMBRE 18</w:t>
      </w:r>
      <w:r w:rsidR="004009FC">
        <w:rPr>
          <w:rFonts w:ascii="Arial" w:hAnsi="Arial"/>
          <w:bCs/>
          <w:lang w:val="es-MX"/>
        </w:rPr>
        <w:t xml:space="preserve"> DEL AÑO 2019</w:t>
      </w:r>
    </w:p>
    <w:p w:rsidR="00011F0C" w:rsidRPr="00011F0C" w:rsidRDefault="00011F0C" w:rsidP="00011F0C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  <w:r w:rsidRPr="00011F0C">
        <w:rPr>
          <w:rFonts w:ascii="Arial" w:hAnsi="Arial" w:cs="Arial"/>
          <w:i/>
          <w:sz w:val="20"/>
          <w:u w:color="000000"/>
          <w:lang w:val="es-ES"/>
        </w:rPr>
        <w:t>“2019, AÑO DE LA IGUALDAD DE GÉNERO EN EL ESTADO DE JALISCO”</w:t>
      </w:r>
    </w:p>
    <w:p w:rsidR="004E27FE" w:rsidRDefault="004E27FE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  <w:r w:rsidRPr="004E27FE">
        <w:rPr>
          <w:rFonts w:ascii="Arial" w:hAnsi="Arial" w:cs="Arial"/>
          <w:i/>
          <w:sz w:val="20"/>
          <w:u w:color="000000"/>
          <w:lang w:val="es-ES"/>
        </w:rPr>
        <w:t>“2019, AÑO DEL LXXX ANIVERSARIO DE LA ESCUELA SECUNDARIA LIC. BENITO JUAREZ”</w:t>
      </w:r>
    </w:p>
    <w:p w:rsidR="004009FC" w:rsidRDefault="004009FC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</w:p>
    <w:p w:rsidR="004009FC" w:rsidRPr="004E27FE" w:rsidRDefault="004009FC" w:rsidP="004E27FE">
      <w:pPr>
        <w:jc w:val="center"/>
        <w:rPr>
          <w:rFonts w:ascii="Arial" w:hAnsi="Arial" w:cs="Arial"/>
          <w:i/>
          <w:sz w:val="20"/>
          <w:u w:color="000000"/>
          <w:lang w:val="es-ES"/>
        </w:rPr>
      </w:pPr>
    </w:p>
    <w:p w:rsidR="004E27FE" w:rsidRDefault="004E27FE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631908" w:rsidRDefault="00631908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Lucida Handwriting" w:eastAsia="Calibri" w:hAnsi="Lucida Handwriting" w:cs="Calibri"/>
          <w:bCs/>
          <w:color w:val="000000"/>
          <w:sz w:val="18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2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2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2"/>
          <w:szCs w:val="20"/>
          <w:u w:color="000000"/>
          <w:lang w:val="es-MX"/>
        </w:rPr>
        <w:t>LIC. LAURA ELENA MARTÍNEZ RUVALCABA</w:t>
      </w: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Presidenta de la Comisión Edilicia De Hacienda Pública y de Patrimonio Municipal</w:t>
      </w: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Default="004009FC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6A260B" w:rsidRDefault="006A260B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6A260B" w:rsidRPr="004E27FE" w:rsidRDefault="006A260B" w:rsidP="004E27FE">
      <w:pPr>
        <w:jc w:val="both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MTRA. CINDY ESTEFANY GARCÍA OROZCO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MTRO. MANUEL DE JESÚS JIMÉNEZ GARMA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LIC. TANIA MAGDALENA BERNARDINO JUAREZ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bookmarkStart w:id="0" w:name="_Hlk527893318"/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4009FC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bookmarkEnd w:id="0"/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MTRO. NOE SAUL RAMOS GARCÍA</w:t>
      </w:r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r w:rsidRPr="004E27FE"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  <w:t>Vocal de la Comisión Edilicia de Hacienda Pública y de Patrimonio Municipal</w:t>
      </w: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E43ABD" w:rsidRDefault="00E43ABD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  <w:bookmarkStart w:id="1" w:name="_GoBack"/>
      <w:bookmarkEnd w:id="1"/>
    </w:p>
    <w:p w:rsidR="004E27FE" w:rsidRDefault="004E27FE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009FC" w:rsidRPr="004E27FE" w:rsidRDefault="004009FC" w:rsidP="004E27FE">
      <w:pPr>
        <w:jc w:val="center"/>
        <w:rPr>
          <w:rFonts w:ascii="Arial" w:eastAsia="Calibri" w:hAnsi="Arial" w:cs="Arial"/>
          <w:bCs/>
          <w:color w:val="000000"/>
          <w:sz w:val="20"/>
          <w:szCs w:val="20"/>
          <w:u w:color="000000"/>
          <w:lang w:val="es-MX"/>
        </w:rPr>
      </w:pPr>
    </w:p>
    <w:p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</w:p>
    <w:sectPr w:rsidR="00A316ED" w:rsidRPr="00631908" w:rsidSect="00FF40CA">
      <w:headerReference w:type="default" r:id="rId11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B6" w:rsidRDefault="00D019B6">
      <w:r>
        <w:separator/>
      </w:r>
    </w:p>
  </w:endnote>
  <w:endnote w:type="continuationSeparator" w:id="0">
    <w:p w:rsidR="00D019B6" w:rsidRDefault="00D0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B6" w:rsidRDefault="00D019B6">
      <w:r>
        <w:separator/>
      </w:r>
    </w:p>
  </w:footnote>
  <w:footnote w:type="continuationSeparator" w:id="0">
    <w:p w:rsidR="00D019B6" w:rsidRDefault="00D0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6F77EB">
    <w:pPr>
      <w:pStyle w:val="Cabeceraypi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6490B"/>
    <w:multiLevelType w:val="hybridMultilevel"/>
    <w:tmpl w:val="D0C0DB56"/>
    <w:numStyleLink w:val="Estiloimportado1"/>
  </w:abstractNum>
  <w:abstractNum w:abstractNumId="18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80"/>
    <w:rsid w:val="00011F0C"/>
    <w:rsid w:val="000123EB"/>
    <w:rsid w:val="00016380"/>
    <w:rsid w:val="0002546E"/>
    <w:rsid w:val="00031967"/>
    <w:rsid w:val="00033755"/>
    <w:rsid w:val="00040E85"/>
    <w:rsid w:val="00046B60"/>
    <w:rsid w:val="00072976"/>
    <w:rsid w:val="00076DCE"/>
    <w:rsid w:val="00081BB8"/>
    <w:rsid w:val="000855E4"/>
    <w:rsid w:val="0009120E"/>
    <w:rsid w:val="000A2014"/>
    <w:rsid w:val="000C1A5D"/>
    <w:rsid w:val="000C6DCE"/>
    <w:rsid w:val="000E2547"/>
    <w:rsid w:val="000E76CD"/>
    <w:rsid w:val="000F175F"/>
    <w:rsid w:val="001047E0"/>
    <w:rsid w:val="001064D0"/>
    <w:rsid w:val="00120715"/>
    <w:rsid w:val="00127CAE"/>
    <w:rsid w:val="00137307"/>
    <w:rsid w:val="00145427"/>
    <w:rsid w:val="00164C03"/>
    <w:rsid w:val="00184FE2"/>
    <w:rsid w:val="00186E68"/>
    <w:rsid w:val="00195198"/>
    <w:rsid w:val="001A09D7"/>
    <w:rsid w:val="001A55DF"/>
    <w:rsid w:val="001B588B"/>
    <w:rsid w:val="001C7636"/>
    <w:rsid w:val="001D258F"/>
    <w:rsid w:val="001E57DD"/>
    <w:rsid w:val="002008BE"/>
    <w:rsid w:val="00206DF1"/>
    <w:rsid w:val="0023078B"/>
    <w:rsid w:val="002424F1"/>
    <w:rsid w:val="00257E3B"/>
    <w:rsid w:val="002639B8"/>
    <w:rsid w:val="00264B8F"/>
    <w:rsid w:val="00270842"/>
    <w:rsid w:val="00291BDA"/>
    <w:rsid w:val="002967C7"/>
    <w:rsid w:val="002B583D"/>
    <w:rsid w:val="002C7B01"/>
    <w:rsid w:val="002E1AD4"/>
    <w:rsid w:val="002E65E6"/>
    <w:rsid w:val="00302360"/>
    <w:rsid w:val="003035A0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A428B"/>
    <w:rsid w:val="003B294F"/>
    <w:rsid w:val="003C0D31"/>
    <w:rsid w:val="003E1595"/>
    <w:rsid w:val="003E79F9"/>
    <w:rsid w:val="003F7E71"/>
    <w:rsid w:val="004009FC"/>
    <w:rsid w:val="00413C69"/>
    <w:rsid w:val="00415708"/>
    <w:rsid w:val="0041653C"/>
    <w:rsid w:val="00430113"/>
    <w:rsid w:val="0044023B"/>
    <w:rsid w:val="004419B2"/>
    <w:rsid w:val="004511C9"/>
    <w:rsid w:val="004539FC"/>
    <w:rsid w:val="00461F49"/>
    <w:rsid w:val="00465A43"/>
    <w:rsid w:val="00470E3F"/>
    <w:rsid w:val="0047235F"/>
    <w:rsid w:val="00484006"/>
    <w:rsid w:val="004B64E8"/>
    <w:rsid w:val="004C2B8D"/>
    <w:rsid w:val="004D6E4D"/>
    <w:rsid w:val="004E27FE"/>
    <w:rsid w:val="004F5E30"/>
    <w:rsid w:val="00502A65"/>
    <w:rsid w:val="00507DC3"/>
    <w:rsid w:val="0051490D"/>
    <w:rsid w:val="005231C0"/>
    <w:rsid w:val="005307A9"/>
    <w:rsid w:val="00530F0E"/>
    <w:rsid w:val="005329D8"/>
    <w:rsid w:val="00537525"/>
    <w:rsid w:val="0054310C"/>
    <w:rsid w:val="0055671C"/>
    <w:rsid w:val="00561C41"/>
    <w:rsid w:val="00566DFA"/>
    <w:rsid w:val="00585336"/>
    <w:rsid w:val="0059305E"/>
    <w:rsid w:val="005A1254"/>
    <w:rsid w:val="005A5217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5F27D0"/>
    <w:rsid w:val="00601123"/>
    <w:rsid w:val="00631908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C234D"/>
    <w:rsid w:val="006D0000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454E5"/>
    <w:rsid w:val="00752A49"/>
    <w:rsid w:val="007835AE"/>
    <w:rsid w:val="00785A23"/>
    <w:rsid w:val="007922E0"/>
    <w:rsid w:val="0079478F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26BB1"/>
    <w:rsid w:val="0083613C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9133D"/>
    <w:rsid w:val="00897824"/>
    <w:rsid w:val="008B13D7"/>
    <w:rsid w:val="008B623F"/>
    <w:rsid w:val="008C05EF"/>
    <w:rsid w:val="008C62D6"/>
    <w:rsid w:val="008D3CB8"/>
    <w:rsid w:val="008D6A93"/>
    <w:rsid w:val="008D70D2"/>
    <w:rsid w:val="008E6604"/>
    <w:rsid w:val="008F10FE"/>
    <w:rsid w:val="008F4A4D"/>
    <w:rsid w:val="00900D76"/>
    <w:rsid w:val="00904DE5"/>
    <w:rsid w:val="009065F7"/>
    <w:rsid w:val="00911263"/>
    <w:rsid w:val="00914675"/>
    <w:rsid w:val="00917D14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048"/>
    <w:rsid w:val="009A5688"/>
    <w:rsid w:val="009A76CC"/>
    <w:rsid w:val="009A7A94"/>
    <w:rsid w:val="009C1172"/>
    <w:rsid w:val="009D21C3"/>
    <w:rsid w:val="009D5AFE"/>
    <w:rsid w:val="009F4E02"/>
    <w:rsid w:val="00A230A8"/>
    <w:rsid w:val="00A26BE7"/>
    <w:rsid w:val="00A300BF"/>
    <w:rsid w:val="00A316ED"/>
    <w:rsid w:val="00A56020"/>
    <w:rsid w:val="00A7205D"/>
    <w:rsid w:val="00A73BB3"/>
    <w:rsid w:val="00A9066E"/>
    <w:rsid w:val="00AA418C"/>
    <w:rsid w:val="00AB0E42"/>
    <w:rsid w:val="00AC5EDD"/>
    <w:rsid w:val="00AC6E0B"/>
    <w:rsid w:val="00AD2E39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B4B45"/>
    <w:rsid w:val="00BB5595"/>
    <w:rsid w:val="00BC015E"/>
    <w:rsid w:val="00BC0745"/>
    <w:rsid w:val="00BC116F"/>
    <w:rsid w:val="00BD5B31"/>
    <w:rsid w:val="00BE681E"/>
    <w:rsid w:val="00BF10B8"/>
    <w:rsid w:val="00BF5018"/>
    <w:rsid w:val="00C00737"/>
    <w:rsid w:val="00C06680"/>
    <w:rsid w:val="00C2206F"/>
    <w:rsid w:val="00C23662"/>
    <w:rsid w:val="00C326AA"/>
    <w:rsid w:val="00C448A5"/>
    <w:rsid w:val="00C471BE"/>
    <w:rsid w:val="00C54DB4"/>
    <w:rsid w:val="00C75308"/>
    <w:rsid w:val="00C75D6B"/>
    <w:rsid w:val="00C77EFE"/>
    <w:rsid w:val="00CA3B72"/>
    <w:rsid w:val="00CB1C76"/>
    <w:rsid w:val="00CB30B5"/>
    <w:rsid w:val="00CC672B"/>
    <w:rsid w:val="00CD7E07"/>
    <w:rsid w:val="00CE0194"/>
    <w:rsid w:val="00CE0590"/>
    <w:rsid w:val="00CF78CF"/>
    <w:rsid w:val="00D019B6"/>
    <w:rsid w:val="00D06348"/>
    <w:rsid w:val="00D35EE9"/>
    <w:rsid w:val="00D36BA1"/>
    <w:rsid w:val="00D43D20"/>
    <w:rsid w:val="00D53488"/>
    <w:rsid w:val="00D56009"/>
    <w:rsid w:val="00D70FC9"/>
    <w:rsid w:val="00D7775A"/>
    <w:rsid w:val="00D87854"/>
    <w:rsid w:val="00DA4D2A"/>
    <w:rsid w:val="00DA540F"/>
    <w:rsid w:val="00DB3238"/>
    <w:rsid w:val="00DF797B"/>
    <w:rsid w:val="00E05A2E"/>
    <w:rsid w:val="00E150F8"/>
    <w:rsid w:val="00E15D28"/>
    <w:rsid w:val="00E32EC5"/>
    <w:rsid w:val="00E33FC6"/>
    <w:rsid w:val="00E43ABD"/>
    <w:rsid w:val="00E542DB"/>
    <w:rsid w:val="00E84D8A"/>
    <w:rsid w:val="00EA2549"/>
    <w:rsid w:val="00EB3DFC"/>
    <w:rsid w:val="00EC1914"/>
    <w:rsid w:val="00EC2909"/>
    <w:rsid w:val="00EC45D0"/>
    <w:rsid w:val="00ED63A8"/>
    <w:rsid w:val="00EF31F4"/>
    <w:rsid w:val="00F30909"/>
    <w:rsid w:val="00F3242F"/>
    <w:rsid w:val="00F32FD9"/>
    <w:rsid w:val="00F53D2A"/>
    <w:rsid w:val="00F565A4"/>
    <w:rsid w:val="00F62338"/>
    <w:rsid w:val="00F73D61"/>
    <w:rsid w:val="00F7709C"/>
    <w:rsid w:val="00F819ED"/>
    <w:rsid w:val="00F85D9A"/>
    <w:rsid w:val="00F92784"/>
    <w:rsid w:val="00FA5AB7"/>
    <w:rsid w:val="00FB0BAD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2D95-FD0F-439C-9DFF-191DB97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Laura Elena Martinez Ruvalcaba</cp:lastModifiedBy>
  <cp:revision>2</cp:revision>
  <cp:lastPrinted>2019-09-18T18:00:00Z</cp:lastPrinted>
  <dcterms:created xsi:type="dcterms:W3CDTF">2019-09-18T18:07:00Z</dcterms:created>
  <dcterms:modified xsi:type="dcterms:W3CDTF">2019-09-18T18:07:00Z</dcterms:modified>
</cp:coreProperties>
</file>