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47" w:rsidRPr="00CE3DD7" w:rsidRDefault="00CA5A47">
      <w:pPr>
        <w:rPr>
          <w:rFonts w:ascii="Arial" w:hAnsi="Arial" w:cs="Arial"/>
          <w:b/>
          <w:color w:val="B2A1C7" w:themeColor="accent4" w:themeTint="99"/>
          <w:sz w:val="24"/>
          <w:szCs w:val="24"/>
        </w:rPr>
      </w:pPr>
      <w:r w:rsidRPr="00CE3DD7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INGRESOS </w:t>
      </w:r>
      <w:r w:rsidR="009B2021" w:rsidRPr="00CE3DD7">
        <w:rPr>
          <w:rFonts w:ascii="Arial" w:hAnsi="Arial" w:cs="Arial"/>
          <w:b/>
          <w:color w:val="B2A1C7" w:themeColor="accent4" w:themeTint="99"/>
          <w:sz w:val="24"/>
          <w:szCs w:val="24"/>
        </w:rPr>
        <w:t>DE LA HACIENDA MUNICIPAL</w:t>
      </w:r>
    </w:p>
    <w:p w:rsidR="00F74DD2" w:rsidRPr="00CE3DD7" w:rsidRDefault="00F74DD2">
      <w:pPr>
        <w:rPr>
          <w:rFonts w:ascii="Arial" w:hAnsi="Arial" w:cs="Arial"/>
          <w:b/>
          <w:color w:val="B2A1C7" w:themeColor="accent4" w:themeTint="99"/>
        </w:rPr>
      </w:pPr>
      <w:r w:rsidRPr="00CE3DD7">
        <w:rPr>
          <w:rFonts w:ascii="Arial" w:hAnsi="Arial" w:cs="Arial"/>
          <w:b/>
          <w:color w:val="B2A1C7" w:themeColor="accent4" w:themeTint="99"/>
        </w:rPr>
        <w:t>Temática</w:t>
      </w:r>
    </w:p>
    <w:p w:rsidR="00CA5A47" w:rsidRPr="00CE3DD7" w:rsidRDefault="008A5876" w:rsidP="00CA5A47">
      <w:pPr>
        <w:rPr>
          <w:rFonts w:ascii="Arial" w:hAnsi="Arial" w:cs="Arial"/>
          <w:b/>
          <w:color w:val="B2A1C7" w:themeColor="accent4" w:themeTint="99"/>
          <w:sz w:val="24"/>
          <w:szCs w:val="24"/>
        </w:rPr>
      </w:pPr>
      <w:r>
        <w:rPr>
          <w:rFonts w:ascii="Arial" w:hAnsi="Arial" w:cs="Arial"/>
          <w:b/>
          <w:color w:val="B2A1C7" w:themeColor="accent4" w:themeTint="99"/>
          <w:sz w:val="24"/>
          <w:szCs w:val="24"/>
        </w:rPr>
        <w:t>INGRESOS TOTALES</w:t>
      </w:r>
      <w:r w:rsidR="00F74DD2" w:rsidRPr="00CE3DD7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 </w:t>
      </w:r>
    </w:p>
    <w:p w:rsidR="00F74DD2" w:rsidRPr="00CE3DD7" w:rsidRDefault="00C04782" w:rsidP="009B2021">
      <w:pPr>
        <w:jc w:val="both"/>
        <w:rPr>
          <w:rFonts w:ascii="Arial" w:hAnsi="Arial" w:cs="Arial"/>
          <w:b/>
          <w:color w:val="B2A1C7" w:themeColor="accent4" w:themeTint="99"/>
          <w:sz w:val="18"/>
          <w:szCs w:val="18"/>
        </w:rPr>
      </w:pPr>
      <w:r>
        <w:rPr>
          <w:rFonts w:ascii="Arial" w:hAnsi="Arial" w:cs="Arial"/>
          <w:b/>
          <w:color w:val="B2A1C7" w:themeColor="accent4" w:themeTint="99"/>
          <w:sz w:val="18"/>
          <w:szCs w:val="18"/>
        </w:rPr>
        <w:t>En esta última etapa del Gobierno 2015-2018</w:t>
      </w:r>
      <w:r w:rsidR="00F77987">
        <w:rPr>
          <w:rFonts w:ascii="Arial" w:hAnsi="Arial" w:cs="Arial"/>
          <w:b/>
          <w:color w:val="B2A1C7" w:themeColor="accent4" w:themeTint="99"/>
          <w:sz w:val="18"/>
          <w:szCs w:val="18"/>
        </w:rPr>
        <w:t>,</w:t>
      </w:r>
      <w:r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e</w:t>
      </w:r>
      <w:r w:rsidR="00F74DD2" w:rsidRPr="00CE3DD7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s importante destacar </w:t>
      </w:r>
      <w:r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que en el tema de ingresos </w:t>
      </w:r>
      <w:r w:rsidR="002C3FA1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totales </w:t>
      </w:r>
      <w:r>
        <w:rPr>
          <w:rFonts w:ascii="Arial" w:hAnsi="Arial" w:cs="Arial"/>
          <w:b/>
          <w:color w:val="B2A1C7" w:themeColor="accent4" w:themeTint="99"/>
          <w:sz w:val="18"/>
          <w:szCs w:val="18"/>
        </w:rPr>
        <w:t>captados por el municipio para cubrir el presupuesto que anualmente fue proyectado por la administración pública</w:t>
      </w:r>
      <w:r w:rsidR="00F77987">
        <w:rPr>
          <w:rFonts w:ascii="Arial" w:hAnsi="Arial" w:cs="Arial"/>
          <w:b/>
          <w:color w:val="B2A1C7" w:themeColor="accent4" w:themeTint="99"/>
          <w:sz w:val="18"/>
          <w:szCs w:val="18"/>
        </w:rPr>
        <w:t>,</w:t>
      </w:r>
      <w:r w:rsidR="007F1709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en apego al</w:t>
      </w:r>
      <w:r w:rsidR="004C69FC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Plan de Desarrollo M</w:t>
      </w:r>
      <w:r>
        <w:rPr>
          <w:rFonts w:ascii="Arial" w:hAnsi="Arial" w:cs="Arial"/>
          <w:b/>
          <w:color w:val="B2A1C7" w:themeColor="accent4" w:themeTint="99"/>
          <w:sz w:val="18"/>
          <w:szCs w:val="18"/>
        </w:rPr>
        <w:t>unicipal</w:t>
      </w:r>
      <w:r w:rsidR="002C3FA1">
        <w:rPr>
          <w:rFonts w:ascii="Arial" w:hAnsi="Arial" w:cs="Arial"/>
          <w:b/>
          <w:color w:val="B2A1C7" w:themeColor="accent4" w:themeTint="99"/>
          <w:sz w:val="18"/>
          <w:szCs w:val="18"/>
        </w:rPr>
        <w:t>,</w:t>
      </w:r>
      <w:r w:rsidR="007F1709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fue </w:t>
      </w:r>
      <w:r>
        <w:rPr>
          <w:rFonts w:ascii="Arial" w:hAnsi="Arial" w:cs="Arial"/>
          <w:b/>
          <w:color w:val="B2A1C7" w:themeColor="accent4" w:themeTint="99"/>
          <w:sz w:val="18"/>
          <w:szCs w:val="18"/>
        </w:rPr>
        <w:t>recaudada</w:t>
      </w:r>
      <w:r w:rsidR="00F77987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</w:t>
      </w:r>
      <w:r w:rsidR="007F1709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y gestionado </w:t>
      </w:r>
      <w:r w:rsidR="00F77987">
        <w:rPr>
          <w:rFonts w:ascii="Arial" w:hAnsi="Arial" w:cs="Arial"/>
          <w:b/>
          <w:color w:val="B2A1C7" w:themeColor="accent4" w:themeTint="99"/>
          <w:sz w:val="18"/>
          <w:szCs w:val="18"/>
        </w:rPr>
        <w:t>en el trienio</w:t>
      </w:r>
      <w:r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la cantidad de</w:t>
      </w:r>
      <w:r w:rsidR="00F77987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</w:t>
      </w:r>
      <w:r w:rsidR="00BB22C6">
        <w:rPr>
          <w:rFonts w:ascii="Arial" w:hAnsi="Arial" w:cs="Arial"/>
          <w:b/>
          <w:color w:val="B2A1C7" w:themeColor="accent4" w:themeTint="99"/>
          <w:sz w:val="18"/>
          <w:szCs w:val="18"/>
        </w:rPr>
        <w:t>$</w:t>
      </w:r>
      <w:r w:rsidR="00F77987">
        <w:rPr>
          <w:rFonts w:ascii="Arial" w:hAnsi="Arial" w:cs="Arial"/>
          <w:b/>
          <w:color w:val="B2A1C7" w:themeColor="accent4" w:themeTint="99"/>
          <w:sz w:val="18"/>
          <w:szCs w:val="18"/>
        </w:rPr>
        <w:t>1,304,000,773.01</w:t>
      </w:r>
      <w:r w:rsidR="007F1709">
        <w:rPr>
          <w:rFonts w:ascii="Arial" w:hAnsi="Arial" w:cs="Arial"/>
          <w:b/>
          <w:color w:val="B2A1C7" w:themeColor="accent4" w:themeTint="99"/>
          <w:sz w:val="18"/>
          <w:szCs w:val="18"/>
        </w:rPr>
        <w:t>,</w:t>
      </w:r>
      <w:r w:rsidR="00F77987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manteniendo un dinamismo a la alza, destacando el trabajo de gestión </w:t>
      </w:r>
      <w:r w:rsidR="002C3FA1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de recursos </w:t>
      </w:r>
      <w:r w:rsidR="00F77987">
        <w:rPr>
          <w:rFonts w:ascii="Arial" w:hAnsi="Arial" w:cs="Arial"/>
          <w:b/>
          <w:color w:val="B2A1C7" w:themeColor="accent4" w:themeTint="99"/>
          <w:sz w:val="18"/>
          <w:szCs w:val="18"/>
        </w:rPr>
        <w:t>para financiar los proyectos de infraestructura y desarrollo social</w:t>
      </w:r>
      <w:r w:rsidR="002C3FA1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, la recaudación local, las participaciones, las aportaciones y la recuperación del rezago, </w:t>
      </w:r>
      <w:r w:rsidR="00F77987">
        <w:rPr>
          <w:rFonts w:ascii="Arial" w:hAnsi="Arial" w:cs="Arial"/>
          <w:b/>
          <w:color w:val="B2A1C7" w:themeColor="accent4" w:themeTint="99"/>
          <w:sz w:val="18"/>
          <w:szCs w:val="18"/>
        </w:rPr>
        <w:t>que impactaron</w:t>
      </w:r>
      <w:r w:rsidR="007F1709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positivamente</w:t>
      </w:r>
      <w:r w:rsidR="002C3FA1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en las finanzas públicas de la localidad y </w:t>
      </w:r>
      <w:r w:rsidR="00F77987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en el bienestar de los </w:t>
      </w:r>
      <w:proofErr w:type="spellStart"/>
      <w:r w:rsidR="00F77987">
        <w:rPr>
          <w:rFonts w:ascii="Arial" w:hAnsi="Arial" w:cs="Arial"/>
          <w:b/>
          <w:color w:val="B2A1C7" w:themeColor="accent4" w:themeTint="99"/>
          <w:sz w:val="18"/>
          <w:szCs w:val="18"/>
        </w:rPr>
        <w:t>zapotlenses</w:t>
      </w:r>
      <w:proofErr w:type="spellEnd"/>
      <w:r w:rsidR="00F77987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. </w:t>
      </w:r>
      <w:r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</w:t>
      </w:r>
    </w:p>
    <w:p w:rsidR="006F7130" w:rsidRDefault="006F7130" w:rsidP="006F71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</w:t>
      </w:r>
      <w:r w:rsidR="00F77987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programa</w:t>
      </w:r>
      <w:r w:rsidR="00F7798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Operativo</w:t>
      </w:r>
      <w:r w:rsidR="00F7798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Anual</w:t>
      </w:r>
      <w:r w:rsidR="00F77987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del área, desde </w:t>
      </w:r>
      <w:r w:rsidR="00F77987">
        <w:rPr>
          <w:rFonts w:ascii="Arial" w:hAnsi="Arial" w:cs="Arial"/>
          <w:sz w:val="24"/>
          <w:szCs w:val="24"/>
        </w:rPr>
        <w:t xml:space="preserve">el periodo </w:t>
      </w:r>
      <w:r>
        <w:rPr>
          <w:rFonts w:ascii="Arial" w:hAnsi="Arial" w:cs="Arial"/>
          <w:sz w:val="24"/>
          <w:szCs w:val="24"/>
        </w:rPr>
        <w:t>2016</w:t>
      </w:r>
      <w:r w:rsidR="00F77987">
        <w:rPr>
          <w:rFonts w:ascii="Arial" w:hAnsi="Arial" w:cs="Arial"/>
          <w:sz w:val="24"/>
          <w:szCs w:val="24"/>
        </w:rPr>
        <w:t>,</w:t>
      </w:r>
      <w:r w:rsidR="00860D16">
        <w:rPr>
          <w:rFonts w:ascii="Arial" w:hAnsi="Arial" w:cs="Arial"/>
          <w:sz w:val="24"/>
          <w:szCs w:val="24"/>
        </w:rPr>
        <w:t xml:space="preserve"> </w:t>
      </w:r>
      <w:r w:rsidR="00F77987">
        <w:rPr>
          <w:rFonts w:ascii="Arial" w:hAnsi="Arial" w:cs="Arial"/>
          <w:sz w:val="24"/>
          <w:szCs w:val="24"/>
        </w:rPr>
        <w:t xml:space="preserve"> fueron implementadas</w:t>
      </w:r>
      <w:r>
        <w:rPr>
          <w:rFonts w:ascii="Arial" w:hAnsi="Arial" w:cs="Arial"/>
          <w:sz w:val="24"/>
          <w:szCs w:val="24"/>
        </w:rPr>
        <w:t xml:space="preserve"> diversas estrategias que </w:t>
      </w:r>
      <w:r w:rsidR="00F77987">
        <w:rPr>
          <w:rFonts w:ascii="Arial" w:hAnsi="Arial" w:cs="Arial"/>
          <w:sz w:val="24"/>
          <w:szCs w:val="24"/>
        </w:rPr>
        <w:t>fortalecieron la recaudación y la gestión</w:t>
      </w:r>
      <w:r w:rsidR="00860D16">
        <w:rPr>
          <w:rFonts w:ascii="Arial" w:hAnsi="Arial" w:cs="Arial"/>
          <w:sz w:val="24"/>
          <w:szCs w:val="24"/>
        </w:rPr>
        <w:t xml:space="preserve"> vinculando a otras áreas de la administración pública</w:t>
      </w:r>
      <w:r w:rsidR="00F77987">
        <w:rPr>
          <w:rFonts w:ascii="Arial" w:hAnsi="Arial" w:cs="Arial"/>
          <w:sz w:val="24"/>
          <w:szCs w:val="24"/>
        </w:rPr>
        <w:t>, manteniendo el flujo de efectivo</w:t>
      </w:r>
      <w:r w:rsidR="007F1709">
        <w:rPr>
          <w:rFonts w:ascii="Arial" w:hAnsi="Arial" w:cs="Arial"/>
          <w:sz w:val="24"/>
          <w:szCs w:val="24"/>
        </w:rPr>
        <w:t>,</w:t>
      </w:r>
      <w:r w:rsidR="00F77987">
        <w:rPr>
          <w:rFonts w:ascii="Arial" w:hAnsi="Arial" w:cs="Arial"/>
          <w:sz w:val="24"/>
          <w:szCs w:val="24"/>
        </w:rPr>
        <w:t xml:space="preserve"> que cubrió el presupuesto de egresos de cada anualidad</w:t>
      </w:r>
      <w:r w:rsidR="00860D16">
        <w:rPr>
          <w:rFonts w:ascii="Arial" w:hAnsi="Arial" w:cs="Arial"/>
          <w:sz w:val="24"/>
          <w:szCs w:val="24"/>
        </w:rPr>
        <w:t xml:space="preserve"> en el Municipio</w:t>
      </w:r>
      <w:r w:rsidR="00F77987">
        <w:rPr>
          <w:rFonts w:ascii="Arial" w:hAnsi="Arial" w:cs="Arial"/>
          <w:sz w:val="24"/>
          <w:szCs w:val="24"/>
        </w:rPr>
        <w:t xml:space="preserve"> </w:t>
      </w:r>
      <w:r w:rsidR="00860D16">
        <w:rPr>
          <w:rFonts w:ascii="Arial" w:hAnsi="Arial" w:cs="Arial"/>
          <w:sz w:val="24"/>
          <w:szCs w:val="24"/>
        </w:rPr>
        <w:t xml:space="preserve"> Zapotlá</w:t>
      </w:r>
      <w:r w:rsidR="00F77987">
        <w:rPr>
          <w:rFonts w:ascii="Arial" w:hAnsi="Arial" w:cs="Arial"/>
          <w:sz w:val="24"/>
          <w:szCs w:val="24"/>
        </w:rPr>
        <w:t>n el Grande</w:t>
      </w:r>
      <w:r w:rsidR="00860D16">
        <w:rPr>
          <w:rFonts w:ascii="Arial" w:hAnsi="Arial" w:cs="Arial"/>
          <w:sz w:val="24"/>
          <w:szCs w:val="24"/>
        </w:rPr>
        <w:t>.</w:t>
      </w:r>
      <w:r w:rsidR="00F779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C5422" w:rsidRDefault="006F7130" w:rsidP="006F71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contexto anterior</w:t>
      </w:r>
      <w:r w:rsidR="003B5D42">
        <w:rPr>
          <w:rFonts w:ascii="Arial" w:hAnsi="Arial" w:cs="Arial"/>
          <w:sz w:val="24"/>
          <w:szCs w:val="24"/>
        </w:rPr>
        <w:t xml:space="preserve"> para lograr la</w:t>
      </w:r>
      <w:r w:rsidR="00F77987">
        <w:rPr>
          <w:rFonts w:ascii="Arial" w:hAnsi="Arial" w:cs="Arial"/>
          <w:sz w:val="24"/>
          <w:szCs w:val="24"/>
        </w:rPr>
        <w:t>s</w:t>
      </w:r>
      <w:r w:rsidR="003B5D42">
        <w:rPr>
          <w:rFonts w:ascii="Arial" w:hAnsi="Arial" w:cs="Arial"/>
          <w:sz w:val="24"/>
          <w:szCs w:val="24"/>
        </w:rPr>
        <w:t xml:space="preserve"> meta</w:t>
      </w:r>
      <w:r w:rsidR="00F77987">
        <w:rPr>
          <w:rFonts w:ascii="Arial" w:hAnsi="Arial" w:cs="Arial"/>
          <w:sz w:val="24"/>
          <w:szCs w:val="24"/>
        </w:rPr>
        <w:t>s</w:t>
      </w:r>
      <w:r w:rsidR="003B5D42">
        <w:rPr>
          <w:rFonts w:ascii="Arial" w:hAnsi="Arial" w:cs="Arial"/>
          <w:sz w:val="24"/>
          <w:szCs w:val="24"/>
        </w:rPr>
        <w:t xml:space="preserve"> proyectada</w:t>
      </w:r>
      <w:r w:rsidR="00F77987">
        <w:rPr>
          <w:rFonts w:ascii="Arial" w:hAnsi="Arial" w:cs="Arial"/>
          <w:sz w:val="24"/>
          <w:szCs w:val="24"/>
        </w:rPr>
        <w:t>s para el término del periodo const</w:t>
      </w:r>
      <w:r w:rsidR="00860D16">
        <w:rPr>
          <w:rFonts w:ascii="Arial" w:hAnsi="Arial" w:cs="Arial"/>
          <w:sz w:val="24"/>
          <w:szCs w:val="24"/>
        </w:rPr>
        <w:t>itucional de Gobierno Municipal</w:t>
      </w:r>
      <w:r w:rsidR="007F1709">
        <w:rPr>
          <w:rFonts w:ascii="Arial" w:hAnsi="Arial" w:cs="Arial"/>
          <w:sz w:val="24"/>
          <w:szCs w:val="24"/>
        </w:rPr>
        <w:t xml:space="preserve"> 2015-2018</w:t>
      </w:r>
      <w:r w:rsidR="003B5D42">
        <w:rPr>
          <w:rFonts w:ascii="Arial" w:hAnsi="Arial" w:cs="Arial"/>
          <w:sz w:val="24"/>
          <w:szCs w:val="24"/>
        </w:rPr>
        <w:t>,</w:t>
      </w:r>
      <w:r w:rsidR="00F77987">
        <w:rPr>
          <w:rFonts w:ascii="Arial" w:hAnsi="Arial" w:cs="Arial"/>
          <w:sz w:val="24"/>
          <w:szCs w:val="24"/>
        </w:rPr>
        <w:t xml:space="preserve"> se realizaron, análisis para la </w:t>
      </w:r>
      <w:r>
        <w:rPr>
          <w:rFonts w:ascii="Arial" w:hAnsi="Arial" w:cs="Arial"/>
          <w:sz w:val="24"/>
          <w:szCs w:val="24"/>
        </w:rPr>
        <w:t>reestructuración de la Ley de Ingre</w:t>
      </w:r>
      <w:r w:rsidR="00F77987">
        <w:rPr>
          <w:rFonts w:ascii="Arial" w:hAnsi="Arial" w:cs="Arial"/>
          <w:sz w:val="24"/>
          <w:szCs w:val="24"/>
        </w:rPr>
        <w:t xml:space="preserve">sos Municipal, que impulsara en forma continua </w:t>
      </w:r>
      <w:r w:rsidR="00860D16">
        <w:rPr>
          <w:rFonts w:ascii="Arial" w:hAnsi="Arial" w:cs="Arial"/>
          <w:sz w:val="24"/>
          <w:szCs w:val="24"/>
        </w:rPr>
        <w:t>un trabajo de planeación, gestión y disciplina,</w:t>
      </w:r>
      <w:r w:rsidR="00DE164C">
        <w:rPr>
          <w:rFonts w:ascii="Arial" w:hAnsi="Arial" w:cs="Arial"/>
          <w:sz w:val="24"/>
          <w:szCs w:val="24"/>
        </w:rPr>
        <w:t xml:space="preserve"> I</w:t>
      </w:r>
      <w:r w:rsidR="009B2021">
        <w:rPr>
          <w:rFonts w:ascii="Arial" w:hAnsi="Arial" w:cs="Arial"/>
          <w:sz w:val="24"/>
          <w:szCs w:val="24"/>
        </w:rPr>
        <w:t>mpulsando</w:t>
      </w:r>
      <w:r>
        <w:rPr>
          <w:rFonts w:ascii="Arial" w:hAnsi="Arial" w:cs="Arial"/>
          <w:sz w:val="24"/>
          <w:szCs w:val="24"/>
        </w:rPr>
        <w:t xml:space="preserve"> la revisión y depur</w:t>
      </w:r>
      <w:r w:rsidR="009B2021">
        <w:rPr>
          <w:rFonts w:ascii="Arial" w:hAnsi="Arial" w:cs="Arial"/>
          <w:sz w:val="24"/>
          <w:szCs w:val="24"/>
        </w:rPr>
        <w:t>ación de padrones fiscales del M</w:t>
      </w:r>
      <w:r>
        <w:rPr>
          <w:rFonts w:ascii="Arial" w:hAnsi="Arial" w:cs="Arial"/>
          <w:sz w:val="24"/>
          <w:szCs w:val="24"/>
        </w:rPr>
        <w:t>unicipio,</w:t>
      </w:r>
      <w:r w:rsidR="007F0E3C">
        <w:rPr>
          <w:rFonts w:ascii="Arial" w:hAnsi="Arial" w:cs="Arial"/>
          <w:sz w:val="24"/>
          <w:szCs w:val="24"/>
        </w:rPr>
        <w:t xml:space="preserve"> </w:t>
      </w:r>
      <w:r w:rsidR="009B2021">
        <w:rPr>
          <w:rFonts w:ascii="Arial" w:hAnsi="Arial" w:cs="Arial"/>
          <w:sz w:val="24"/>
          <w:szCs w:val="24"/>
        </w:rPr>
        <w:t>la revisión y actualización de la documentación relacionada con notificaciones de créditos fiscales pa</w:t>
      </w:r>
      <w:r w:rsidR="008E436E">
        <w:rPr>
          <w:rFonts w:ascii="Arial" w:hAnsi="Arial" w:cs="Arial"/>
          <w:sz w:val="24"/>
          <w:szCs w:val="24"/>
        </w:rPr>
        <w:t xml:space="preserve">ra la recuperación de pasivos, </w:t>
      </w:r>
      <w:r w:rsidR="00860D16">
        <w:rPr>
          <w:rFonts w:ascii="Arial" w:hAnsi="Arial" w:cs="Arial"/>
          <w:sz w:val="24"/>
          <w:szCs w:val="24"/>
        </w:rPr>
        <w:t>así como la implementación</w:t>
      </w:r>
      <w:r w:rsidR="009B2021">
        <w:rPr>
          <w:rFonts w:ascii="Arial" w:hAnsi="Arial" w:cs="Arial"/>
          <w:sz w:val="24"/>
          <w:szCs w:val="24"/>
        </w:rPr>
        <w:t xml:space="preserve"> </w:t>
      </w:r>
      <w:r w:rsidR="00860D16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controles internos</w:t>
      </w:r>
      <w:r w:rsidR="00892A8E">
        <w:rPr>
          <w:rFonts w:ascii="Arial" w:hAnsi="Arial" w:cs="Arial"/>
          <w:sz w:val="24"/>
          <w:szCs w:val="24"/>
        </w:rPr>
        <w:t xml:space="preserve"> </w:t>
      </w:r>
      <w:r w:rsidR="00860D16">
        <w:rPr>
          <w:rFonts w:ascii="Arial" w:hAnsi="Arial" w:cs="Arial"/>
          <w:sz w:val="24"/>
          <w:szCs w:val="24"/>
        </w:rPr>
        <w:t>que fueron monitoreados a través de indicadores para garant</w:t>
      </w:r>
      <w:r w:rsidR="007F1709">
        <w:rPr>
          <w:rFonts w:ascii="Arial" w:hAnsi="Arial" w:cs="Arial"/>
          <w:sz w:val="24"/>
          <w:szCs w:val="24"/>
        </w:rPr>
        <w:t xml:space="preserve">izar resultados. Por otra parte </w:t>
      </w:r>
      <w:r w:rsidR="00860D16">
        <w:rPr>
          <w:rFonts w:ascii="Arial" w:hAnsi="Arial" w:cs="Arial"/>
          <w:sz w:val="24"/>
          <w:szCs w:val="24"/>
        </w:rPr>
        <w:t>e</w:t>
      </w:r>
      <w:r w:rsidR="00BC5422">
        <w:rPr>
          <w:rFonts w:ascii="Arial" w:hAnsi="Arial" w:cs="Arial"/>
          <w:sz w:val="24"/>
          <w:szCs w:val="24"/>
        </w:rPr>
        <w:t xml:space="preserve">n coordinación con el área jurídica </w:t>
      </w:r>
      <w:r w:rsidR="00860D16">
        <w:rPr>
          <w:rFonts w:ascii="Arial" w:hAnsi="Arial" w:cs="Arial"/>
          <w:sz w:val="24"/>
          <w:szCs w:val="24"/>
        </w:rPr>
        <w:t>fueron actualiza</w:t>
      </w:r>
      <w:r w:rsidR="00892A8E">
        <w:rPr>
          <w:rFonts w:ascii="Arial" w:hAnsi="Arial" w:cs="Arial"/>
          <w:sz w:val="24"/>
          <w:szCs w:val="24"/>
        </w:rPr>
        <w:t>do</w:t>
      </w:r>
      <w:r w:rsidR="00860D16">
        <w:rPr>
          <w:rFonts w:ascii="Arial" w:hAnsi="Arial" w:cs="Arial"/>
          <w:sz w:val="24"/>
          <w:szCs w:val="24"/>
        </w:rPr>
        <w:t>s</w:t>
      </w:r>
      <w:r w:rsidR="00892A8E">
        <w:rPr>
          <w:rFonts w:ascii="Arial" w:hAnsi="Arial" w:cs="Arial"/>
          <w:sz w:val="24"/>
          <w:szCs w:val="24"/>
        </w:rPr>
        <w:t xml:space="preserve"> algunos</w:t>
      </w:r>
      <w:r w:rsidR="00BC5422">
        <w:rPr>
          <w:rFonts w:ascii="Arial" w:hAnsi="Arial" w:cs="Arial"/>
          <w:sz w:val="24"/>
          <w:szCs w:val="24"/>
        </w:rPr>
        <w:t xml:space="preserve"> reglamentos municipales</w:t>
      </w:r>
      <w:r w:rsidR="00860D16">
        <w:rPr>
          <w:rFonts w:ascii="Arial" w:hAnsi="Arial" w:cs="Arial"/>
          <w:sz w:val="24"/>
          <w:szCs w:val="24"/>
        </w:rPr>
        <w:t>, permitieron</w:t>
      </w:r>
      <w:r w:rsidR="00DE164C">
        <w:rPr>
          <w:rFonts w:ascii="Arial" w:hAnsi="Arial" w:cs="Arial"/>
          <w:sz w:val="24"/>
          <w:szCs w:val="24"/>
        </w:rPr>
        <w:t xml:space="preserve"> darle </w:t>
      </w:r>
      <w:r w:rsidR="00BC5422">
        <w:rPr>
          <w:rFonts w:ascii="Arial" w:hAnsi="Arial" w:cs="Arial"/>
          <w:sz w:val="24"/>
          <w:szCs w:val="24"/>
        </w:rPr>
        <w:t>certeza a los actos administrativos de la autoridad municipal en la localidad</w:t>
      </w:r>
      <w:r w:rsidR="00892A8E">
        <w:rPr>
          <w:rFonts w:ascii="Arial" w:hAnsi="Arial" w:cs="Arial"/>
          <w:sz w:val="24"/>
          <w:szCs w:val="24"/>
        </w:rPr>
        <w:t>,</w:t>
      </w:r>
      <w:r w:rsidR="00400FB6">
        <w:rPr>
          <w:rFonts w:ascii="Arial" w:hAnsi="Arial" w:cs="Arial"/>
          <w:sz w:val="24"/>
          <w:szCs w:val="24"/>
        </w:rPr>
        <w:t xml:space="preserve"> en beneficio del saneamiento </w:t>
      </w:r>
      <w:r w:rsidR="00892A8E">
        <w:rPr>
          <w:rFonts w:ascii="Arial" w:hAnsi="Arial" w:cs="Arial"/>
          <w:sz w:val="24"/>
          <w:szCs w:val="24"/>
        </w:rPr>
        <w:t>de las finanzas locales</w:t>
      </w:r>
      <w:r w:rsidR="00BC5422">
        <w:rPr>
          <w:rFonts w:ascii="Arial" w:hAnsi="Arial" w:cs="Arial"/>
          <w:sz w:val="24"/>
          <w:szCs w:val="24"/>
        </w:rPr>
        <w:t xml:space="preserve">. </w:t>
      </w:r>
    </w:p>
    <w:p w:rsidR="00860D16" w:rsidRDefault="00860D16" w:rsidP="006F71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contexto anterior se despliega la siguiente grafica que muestra el comportamiento del dinamismo de cre</w:t>
      </w:r>
      <w:r w:rsidR="007F1709">
        <w:rPr>
          <w:rFonts w:ascii="Arial" w:hAnsi="Arial" w:cs="Arial"/>
          <w:sz w:val="24"/>
          <w:szCs w:val="24"/>
        </w:rPr>
        <w:t>cimiento de los ingresos de 2015</w:t>
      </w:r>
      <w:r>
        <w:rPr>
          <w:rFonts w:ascii="Arial" w:hAnsi="Arial" w:cs="Arial"/>
          <w:sz w:val="24"/>
          <w:szCs w:val="24"/>
        </w:rPr>
        <w:t xml:space="preserve"> a 2018.</w:t>
      </w:r>
    </w:p>
    <w:p w:rsidR="00860D16" w:rsidRDefault="00C100E9" w:rsidP="00C100E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214630</wp:posOffset>
            </wp:positionV>
            <wp:extent cx="4933950" cy="1569720"/>
            <wp:effectExtent l="0" t="0" r="0" b="0"/>
            <wp:wrapTight wrapText="bothSides">
              <wp:wrapPolygon edited="0">
                <wp:start x="0" y="0"/>
                <wp:lineTo x="0" y="21233"/>
                <wp:lineTo x="21517" y="21233"/>
                <wp:lineTo x="21517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709" w:rsidRDefault="007F1709" w:rsidP="00D165E8">
      <w:pPr>
        <w:jc w:val="both"/>
        <w:rPr>
          <w:rFonts w:ascii="Arial" w:hAnsi="Arial" w:cs="Arial"/>
          <w:sz w:val="24"/>
          <w:szCs w:val="24"/>
        </w:rPr>
      </w:pPr>
    </w:p>
    <w:p w:rsidR="007F1709" w:rsidRDefault="007F1709" w:rsidP="00D165E8">
      <w:pPr>
        <w:jc w:val="both"/>
        <w:rPr>
          <w:rFonts w:ascii="Arial" w:hAnsi="Arial" w:cs="Arial"/>
          <w:sz w:val="24"/>
          <w:szCs w:val="24"/>
        </w:rPr>
      </w:pPr>
    </w:p>
    <w:p w:rsidR="007F1709" w:rsidRDefault="007F1709" w:rsidP="00D165E8">
      <w:pPr>
        <w:jc w:val="both"/>
        <w:rPr>
          <w:rFonts w:ascii="Arial" w:hAnsi="Arial" w:cs="Arial"/>
          <w:sz w:val="24"/>
          <w:szCs w:val="24"/>
        </w:rPr>
      </w:pPr>
    </w:p>
    <w:p w:rsidR="007F1709" w:rsidRDefault="007F1709" w:rsidP="00D165E8">
      <w:pPr>
        <w:jc w:val="both"/>
        <w:rPr>
          <w:rFonts w:ascii="Arial" w:hAnsi="Arial" w:cs="Arial"/>
          <w:sz w:val="24"/>
          <w:szCs w:val="24"/>
        </w:rPr>
      </w:pPr>
    </w:p>
    <w:p w:rsidR="007F1709" w:rsidRDefault="007F1709" w:rsidP="00D165E8">
      <w:pPr>
        <w:jc w:val="both"/>
        <w:rPr>
          <w:rFonts w:ascii="Arial" w:hAnsi="Arial" w:cs="Arial"/>
          <w:sz w:val="24"/>
          <w:szCs w:val="24"/>
        </w:rPr>
      </w:pPr>
    </w:p>
    <w:p w:rsidR="00860D16" w:rsidRPr="00BB22C6" w:rsidRDefault="00860D16" w:rsidP="00D165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 se despliega el siguiente cuadro</w:t>
      </w:r>
      <w:r w:rsidR="007F17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muestra las cantidades que durante los meses de cada periodo</w:t>
      </w:r>
      <w:r w:rsidR="00BB22C6">
        <w:rPr>
          <w:rFonts w:ascii="Arial" w:hAnsi="Arial" w:cs="Arial"/>
          <w:sz w:val="24"/>
          <w:szCs w:val="24"/>
        </w:rPr>
        <w:t xml:space="preserve"> </w:t>
      </w:r>
      <w:r w:rsidR="004E2C5D">
        <w:rPr>
          <w:rFonts w:ascii="Arial" w:hAnsi="Arial" w:cs="Arial"/>
          <w:sz w:val="24"/>
          <w:szCs w:val="24"/>
        </w:rPr>
        <w:t>del trienio</w:t>
      </w:r>
      <w:r w:rsidR="00BB22C6">
        <w:rPr>
          <w:rFonts w:ascii="Arial" w:hAnsi="Arial" w:cs="Arial"/>
          <w:sz w:val="24"/>
          <w:szCs w:val="24"/>
        </w:rPr>
        <w:t xml:space="preserve"> </w:t>
      </w:r>
      <w:r w:rsidR="00C76734">
        <w:rPr>
          <w:rFonts w:ascii="Arial" w:hAnsi="Arial" w:cs="Arial"/>
          <w:sz w:val="24"/>
          <w:szCs w:val="24"/>
        </w:rPr>
        <w:t>fueron ingresadas a la hacienda municipal y que sumaron</w:t>
      </w:r>
      <w:r w:rsidR="004E2C5D">
        <w:rPr>
          <w:rFonts w:ascii="Arial" w:hAnsi="Arial" w:cs="Arial"/>
          <w:sz w:val="24"/>
          <w:szCs w:val="24"/>
        </w:rPr>
        <w:t xml:space="preserve"> la</w:t>
      </w:r>
      <w:r w:rsidR="00BB22C6">
        <w:rPr>
          <w:rFonts w:ascii="Arial" w:hAnsi="Arial" w:cs="Arial"/>
          <w:sz w:val="24"/>
          <w:szCs w:val="24"/>
        </w:rPr>
        <w:t xml:space="preserve"> cantidad de </w:t>
      </w:r>
      <w:r w:rsidR="00BB22C6" w:rsidRPr="00BB22C6">
        <w:rPr>
          <w:rFonts w:ascii="Arial" w:hAnsi="Arial" w:cs="Arial"/>
          <w:sz w:val="24"/>
          <w:szCs w:val="24"/>
        </w:rPr>
        <w:t>$1, 304</w:t>
      </w:r>
      <w:proofErr w:type="gramStart"/>
      <w:r w:rsidR="00BB22C6">
        <w:rPr>
          <w:rFonts w:ascii="Arial" w:hAnsi="Arial" w:cs="Arial"/>
          <w:sz w:val="24"/>
          <w:szCs w:val="24"/>
        </w:rPr>
        <w:t>,</w:t>
      </w:r>
      <w:r w:rsidR="00BB22C6" w:rsidRPr="00BB22C6">
        <w:rPr>
          <w:rFonts w:ascii="Arial" w:hAnsi="Arial" w:cs="Arial"/>
          <w:sz w:val="24"/>
          <w:szCs w:val="24"/>
        </w:rPr>
        <w:t>000,773.01</w:t>
      </w:r>
      <w:proofErr w:type="gramEnd"/>
      <w:r w:rsidR="00BB22C6">
        <w:rPr>
          <w:rFonts w:ascii="Arial" w:hAnsi="Arial" w:cs="Arial"/>
          <w:b/>
          <w:sz w:val="24"/>
          <w:szCs w:val="24"/>
        </w:rPr>
        <w:t xml:space="preserve">, </w:t>
      </w:r>
      <w:r w:rsidR="00BB22C6">
        <w:rPr>
          <w:rFonts w:ascii="Arial" w:hAnsi="Arial" w:cs="Arial"/>
          <w:sz w:val="24"/>
          <w:szCs w:val="24"/>
        </w:rPr>
        <w:t>destacando un record en ges</w:t>
      </w:r>
      <w:r w:rsidR="00BB22C6" w:rsidRPr="00BB22C6">
        <w:rPr>
          <w:rFonts w:ascii="Arial" w:hAnsi="Arial" w:cs="Arial"/>
          <w:sz w:val="24"/>
          <w:szCs w:val="24"/>
        </w:rPr>
        <w:t>tión de recursos</w:t>
      </w:r>
      <w:r w:rsidR="00BB22C6">
        <w:rPr>
          <w:rFonts w:ascii="Arial" w:hAnsi="Arial" w:cs="Arial"/>
          <w:b/>
          <w:sz w:val="24"/>
          <w:szCs w:val="24"/>
        </w:rPr>
        <w:t xml:space="preserve"> </w:t>
      </w:r>
      <w:r w:rsidR="00BB22C6" w:rsidRPr="00BB22C6">
        <w:rPr>
          <w:rFonts w:ascii="Arial" w:hAnsi="Arial" w:cs="Arial"/>
          <w:sz w:val="24"/>
          <w:szCs w:val="24"/>
        </w:rPr>
        <w:t>financieros</w:t>
      </w:r>
      <w:r w:rsidR="004E2C5D">
        <w:rPr>
          <w:rFonts w:ascii="Arial" w:hAnsi="Arial" w:cs="Arial"/>
          <w:sz w:val="24"/>
          <w:szCs w:val="24"/>
        </w:rPr>
        <w:t xml:space="preserve"> para la generación y remozamiento de infraestructura</w:t>
      </w:r>
      <w:r w:rsidR="00C76734">
        <w:rPr>
          <w:rFonts w:ascii="Arial" w:hAnsi="Arial" w:cs="Arial"/>
          <w:sz w:val="24"/>
          <w:szCs w:val="24"/>
        </w:rPr>
        <w:t xml:space="preserve"> urbana y equipamiento municipal</w:t>
      </w:r>
      <w:r w:rsidR="00BB22C6" w:rsidRPr="00BB22C6">
        <w:rPr>
          <w:rFonts w:ascii="Arial" w:hAnsi="Arial" w:cs="Arial"/>
          <w:sz w:val="24"/>
          <w:szCs w:val="24"/>
        </w:rPr>
        <w:t>.</w:t>
      </w:r>
    </w:p>
    <w:tbl>
      <w:tblPr>
        <w:tblStyle w:val="Sombreadoclaro-nfasis4"/>
        <w:tblW w:w="7260" w:type="dxa"/>
        <w:tblInd w:w="791" w:type="dxa"/>
        <w:tblLook w:val="04A0" w:firstRow="1" w:lastRow="0" w:firstColumn="1" w:lastColumn="0" w:noHBand="0" w:noVBand="1"/>
      </w:tblPr>
      <w:tblGrid>
        <w:gridCol w:w="1860"/>
        <w:gridCol w:w="1600"/>
        <w:gridCol w:w="1900"/>
        <w:gridCol w:w="1900"/>
      </w:tblGrid>
      <w:tr w:rsidR="00C100E9" w:rsidRPr="00C100E9" w:rsidTr="00C10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100E9" w:rsidRPr="00C100E9" w:rsidRDefault="00C100E9" w:rsidP="00C100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16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9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900" w:type="dxa"/>
            <w:hideMark/>
          </w:tcPr>
          <w:p w:rsidR="00C100E9" w:rsidRPr="00C100E9" w:rsidRDefault="00C100E9" w:rsidP="00C100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2018</w:t>
            </w:r>
          </w:p>
        </w:tc>
      </w:tr>
      <w:tr w:rsidR="00C100E9" w:rsidRPr="00C100E9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100E9" w:rsidRPr="00C100E9" w:rsidRDefault="00C100E9" w:rsidP="00C100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16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$31,058,159.95</w:t>
            </w:r>
          </w:p>
        </w:tc>
        <w:tc>
          <w:tcPr>
            <w:tcW w:w="19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$37,275,128.47</w:t>
            </w:r>
          </w:p>
        </w:tc>
        <w:tc>
          <w:tcPr>
            <w:tcW w:w="1900" w:type="dxa"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$50,767,033.68</w:t>
            </w:r>
          </w:p>
        </w:tc>
      </w:tr>
      <w:tr w:rsidR="00C100E9" w:rsidRPr="00C100E9" w:rsidTr="00C100E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100E9" w:rsidRPr="00C100E9" w:rsidRDefault="00C100E9" w:rsidP="00C100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16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$29,195,785.81</w:t>
            </w:r>
          </w:p>
        </w:tc>
        <w:tc>
          <w:tcPr>
            <w:tcW w:w="19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$38,947,478.27</w:t>
            </w:r>
          </w:p>
        </w:tc>
        <w:tc>
          <w:tcPr>
            <w:tcW w:w="1900" w:type="dxa"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$36,830,818.53</w:t>
            </w:r>
          </w:p>
        </w:tc>
      </w:tr>
      <w:tr w:rsidR="00C100E9" w:rsidRPr="00C100E9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100E9" w:rsidRPr="00C100E9" w:rsidRDefault="00C100E9" w:rsidP="00C100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16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$27,826,427.35</w:t>
            </w:r>
          </w:p>
        </w:tc>
        <w:tc>
          <w:tcPr>
            <w:tcW w:w="19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$38,404,710.78</w:t>
            </w:r>
          </w:p>
        </w:tc>
        <w:tc>
          <w:tcPr>
            <w:tcW w:w="1900" w:type="dxa"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$50,329,254.53</w:t>
            </w:r>
          </w:p>
        </w:tc>
      </w:tr>
      <w:tr w:rsidR="00C100E9" w:rsidRPr="00C100E9" w:rsidTr="00C100E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100E9" w:rsidRPr="00C100E9" w:rsidRDefault="00C100E9" w:rsidP="00C100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16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$29,210,424.47</w:t>
            </w:r>
          </w:p>
        </w:tc>
        <w:tc>
          <w:tcPr>
            <w:tcW w:w="19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$34,432,281.51</w:t>
            </w:r>
          </w:p>
        </w:tc>
        <w:tc>
          <w:tcPr>
            <w:tcW w:w="1900" w:type="dxa"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$33,841,733.28</w:t>
            </w:r>
          </w:p>
        </w:tc>
      </w:tr>
      <w:tr w:rsidR="00C100E9" w:rsidRPr="00C100E9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100E9" w:rsidRPr="00C100E9" w:rsidRDefault="00C100E9" w:rsidP="00C100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16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$35,105,133.70</w:t>
            </w:r>
          </w:p>
        </w:tc>
        <w:tc>
          <w:tcPr>
            <w:tcW w:w="19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$32,622,781.22</w:t>
            </w:r>
          </w:p>
        </w:tc>
        <w:tc>
          <w:tcPr>
            <w:tcW w:w="1900" w:type="dxa"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$40,730,878.95</w:t>
            </w:r>
          </w:p>
        </w:tc>
      </w:tr>
      <w:tr w:rsidR="00C100E9" w:rsidRPr="00C100E9" w:rsidTr="00C100E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100E9" w:rsidRPr="00C100E9" w:rsidRDefault="00C100E9" w:rsidP="00C100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16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$26,182,153.35</w:t>
            </w:r>
          </w:p>
        </w:tc>
        <w:tc>
          <w:tcPr>
            <w:tcW w:w="19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$54,283,661.70</w:t>
            </w:r>
          </w:p>
        </w:tc>
        <w:tc>
          <w:tcPr>
            <w:tcW w:w="1900" w:type="dxa"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$32,660,838.74</w:t>
            </w:r>
          </w:p>
        </w:tc>
      </w:tr>
      <w:tr w:rsidR="00C100E9" w:rsidRPr="00C100E9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100E9" w:rsidRPr="00C100E9" w:rsidRDefault="00C100E9" w:rsidP="00C100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16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$40,964,261.44</w:t>
            </w:r>
          </w:p>
        </w:tc>
        <w:tc>
          <w:tcPr>
            <w:tcW w:w="19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$40,105,969.92</w:t>
            </w:r>
          </w:p>
        </w:tc>
        <w:tc>
          <w:tcPr>
            <w:tcW w:w="1900" w:type="dxa"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$33,662,039.51</w:t>
            </w:r>
          </w:p>
        </w:tc>
      </w:tr>
      <w:tr w:rsidR="00C100E9" w:rsidRPr="00C100E9" w:rsidTr="00C100E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100E9" w:rsidRPr="00C100E9" w:rsidRDefault="00C100E9" w:rsidP="00C100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16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$53,452,298.19</w:t>
            </w:r>
          </w:p>
        </w:tc>
        <w:tc>
          <w:tcPr>
            <w:tcW w:w="19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$37,607,971.02</w:t>
            </w:r>
          </w:p>
        </w:tc>
        <w:tc>
          <w:tcPr>
            <w:tcW w:w="1900" w:type="dxa"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$49,337,744.30</w:t>
            </w:r>
          </w:p>
        </w:tc>
      </w:tr>
      <w:tr w:rsidR="00C100E9" w:rsidRPr="00C100E9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100E9" w:rsidRPr="00C100E9" w:rsidRDefault="00C100E9" w:rsidP="00C100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</w:t>
            </w:r>
          </w:p>
        </w:tc>
        <w:tc>
          <w:tcPr>
            <w:tcW w:w="16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$45,873,406.77</w:t>
            </w:r>
          </w:p>
        </w:tc>
        <w:tc>
          <w:tcPr>
            <w:tcW w:w="19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$43,567,858.99</w:t>
            </w:r>
          </w:p>
        </w:tc>
        <w:tc>
          <w:tcPr>
            <w:tcW w:w="1900" w:type="dxa"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$47,399,402.16</w:t>
            </w:r>
          </w:p>
        </w:tc>
      </w:tr>
      <w:tr w:rsidR="00C100E9" w:rsidRPr="00C100E9" w:rsidTr="00C100E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100E9" w:rsidRPr="00C100E9" w:rsidRDefault="00C100E9" w:rsidP="00C100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16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$21,319,723.52</w:t>
            </w:r>
          </w:p>
        </w:tc>
        <w:tc>
          <w:tcPr>
            <w:tcW w:w="19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$34,019,411.86</w:t>
            </w:r>
          </w:p>
        </w:tc>
        <w:tc>
          <w:tcPr>
            <w:tcW w:w="1900" w:type="dxa"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$31,096,746.57</w:t>
            </w:r>
          </w:p>
        </w:tc>
      </w:tr>
      <w:tr w:rsidR="00C100E9" w:rsidRPr="00C100E9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100E9" w:rsidRPr="00C100E9" w:rsidRDefault="00C100E9" w:rsidP="00C100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</w:p>
        </w:tc>
        <w:tc>
          <w:tcPr>
            <w:tcW w:w="16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$20,367,788.68</w:t>
            </w:r>
          </w:p>
        </w:tc>
        <w:tc>
          <w:tcPr>
            <w:tcW w:w="19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$31,656,884.37</w:t>
            </w:r>
          </w:p>
        </w:tc>
        <w:tc>
          <w:tcPr>
            <w:tcW w:w="1900" w:type="dxa"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$23,358,148.45</w:t>
            </w:r>
          </w:p>
        </w:tc>
      </w:tr>
      <w:tr w:rsidR="00C100E9" w:rsidRPr="00C100E9" w:rsidTr="00C100E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100E9" w:rsidRPr="00C100E9" w:rsidRDefault="00C100E9" w:rsidP="00C100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16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$11,521,024.48</w:t>
            </w:r>
          </w:p>
        </w:tc>
        <w:tc>
          <w:tcPr>
            <w:tcW w:w="1900" w:type="dxa"/>
            <w:noWrap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$34,845,137.65</w:t>
            </w:r>
          </w:p>
        </w:tc>
        <w:tc>
          <w:tcPr>
            <w:tcW w:w="1900" w:type="dxa"/>
            <w:hideMark/>
          </w:tcPr>
          <w:p w:rsidR="00C100E9" w:rsidRPr="00C100E9" w:rsidRDefault="00C100E9" w:rsidP="00C10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$22,955,764.78</w:t>
            </w:r>
          </w:p>
        </w:tc>
      </w:tr>
      <w:tr w:rsidR="00C100E9" w:rsidRPr="00C100E9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100E9" w:rsidRPr="00C100E9" w:rsidRDefault="00C100E9" w:rsidP="00C100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600" w:type="dxa"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$372,076,587.71</w:t>
            </w:r>
          </w:p>
        </w:tc>
        <w:tc>
          <w:tcPr>
            <w:tcW w:w="1900" w:type="dxa"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$457,769,275.76</w:t>
            </w:r>
          </w:p>
        </w:tc>
        <w:tc>
          <w:tcPr>
            <w:tcW w:w="1900" w:type="dxa"/>
            <w:hideMark/>
          </w:tcPr>
          <w:p w:rsidR="00C100E9" w:rsidRPr="00C100E9" w:rsidRDefault="00C100E9" w:rsidP="00C10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00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$452,970,403.48</w:t>
            </w:r>
          </w:p>
        </w:tc>
      </w:tr>
    </w:tbl>
    <w:p w:rsidR="00860D16" w:rsidRDefault="00860D16" w:rsidP="00D165E8">
      <w:pPr>
        <w:jc w:val="both"/>
        <w:rPr>
          <w:rFonts w:ascii="Arial" w:hAnsi="Arial" w:cs="Arial"/>
          <w:sz w:val="24"/>
          <w:szCs w:val="24"/>
        </w:rPr>
      </w:pPr>
    </w:p>
    <w:p w:rsidR="004E2C5D" w:rsidRDefault="004E2C5D" w:rsidP="008A5876">
      <w:pPr>
        <w:rPr>
          <w:rFonts w:ascii="Arial" w:hAnsi="Arial" w:cs="Arial"/>
          <w:b/>
          <w:color w:val="B2A1C7" w:themeColor="accent4" w:themeTint="99"/>
        </w:rPr>
      </w:pPr>
    </w:p>
    <w:p w:rsidR="008A5876" w:rsidRPr="00CE3DD7" w:rsidRDefault="008A5876" w:rsidP="008A5876">
      <w:pPr>
        <w:rPr>
          <w:rFonts w:ascii="Arial" w:hAnsi="Arial" w:cs="Arial"/>
          <w:b/>
          <w:color w:val="B2A1C7" w:themeColor="accent4" w:themeTint="99"/>
        </w:rPr>
      </w:pPr>
      <w:r w:rsidRPr="00CE3DD7">
        <w:rPr>
          <w:rFonts w:ascii="Arial" w:hAnsi="Arial" w:cs="Arial"/>
          <w:b/>
          <w:color w:val="B2A1C7" w:themeColor="accent4" w:themeTint="99"/>
        </w:rPr>
        <w:t>Temática</w:t>
      </w:r>
    </w:p>
    <w:p w:rsidR="008A5876" w:rsidRPr="00CE3DD7" w:rsidRDefault="008A5876" w:rsidP="008A5876">
      <w:pPr>
        <w:rPr>
          <w:rFonts w:ascii="Arial" w:hAnsi="Arial" w:cs="Arial"/>
          <w:b/>
          <w:color w:val="B2A1C7" w:themeColor="accent4" w:themeTint="99"/>
          <w:sz w:val="24"/>
          <w:szCs w:val="24"/>
        </w:rPr>
      </w:pPr>
      <w:r>
        <w:rPr>
          <w:rFonts w:ascii="Arial" w:hAnsi="Arial" w:cs="Arial"/>
          <w:b/>
          <w:color w:val="B2A1C7" w:themeColor="accent4" w:themeTint="99"/>
          <w:sz w:val="24"/>
          <w:szCs w:val="24"/>
        </w:rPr>
        <w:t>INGRESOS PROPIOS</w:t>
      </w:r>
      <w:r w:rsidRPr="00CE3DD7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 </w:t>
      </w:r>
    </w:p>
    <w:p w:rsidR="00860D16" w:rsidRDefault="007A69D7" w:rsidP="00D165E8">
      <w:pPr>
        <w:jc w:val="both"/>
        <w:rPr>
          <w:rFonts w:ascii="Arial" w:hAnsi="Arial" w:cs="Arial"/>
          <w:b/>
          <w:color w:val="B2A1C7" w:themeColor="accent4" w:themeTint="99"/>
          <w:sz w:val="18"/>
          <w:szCs w:val="18"/>
        </w:rPr>
      </w:pPr>
      <w:r w:rsidRPr="007A69D7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En el contexto de ingresos propios, destaco que durante el periodo 2015-2018, la captación de ingresos propios </w:t>
      </w:r>
      <w:r w:rsidR="004C69FC">
        <w:rPr>
          <w:rFonts w:ascii="Arial" w:hAnsi="Arial" w:cs="Arial"/>
          <w:b/>
          <w:color w:val="B2A1C7" w:themeColor="accent4" w:themeTint="99"/>
          <w:sz w:val="18"/>
          <w:szCs w:val="18"/>
        </w:rPr>
        <w:t>mantuvo un dinamismo a la alza alcanzando una recaudación por un monto de $312´419,421.42 que contrasta con la cantidad de $231´109,681.84 del periodo 2013-2015.</w:t>
      </w:r>
    </w:p>
    <w:p w:rsidR="00E5491B" w:rsidRDefault="00C76734" w:rsidP="00C767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el trienio 2015-2018 y en el tema de ingresos propios menciono</w:t>
      </w:r>
      <w:r w:rsidR="00E5491B">
        <w:rPr>
          <w:rFonts w:ascii="Arial" w:hAnsi="Arial" w:cs="Arial"/>
          <w:sz w:val="24"/>
          <w:szCs w:val="24"/>
        </w:rPr>
        <w:t xml:space="preserve"> el aumento en la recaudación de</w:t>
      </w:r>
      <w:r>
        <w:rPr>
          <w:rFonts w:ascii="Arial" w:hAnsi="Arial" w:cs="Arial"/>
          <w:sz w:val="24"/>
          <w:szCs w:val="24"/>
        </w:rPr>
        <w:t xml:space="preserve"> los ingresos percibidos bajo la etiqueta de impuestos, derechos productos y aprovechamientos que contabilizaron al finalizar el último periodo de la a</w:t>
      </w:r>
      <w:r w:rsidR="00BE3F70">
        <w:rPr>
          <w:rFonts w:ascii="Arial" w:hAnsi="Arial" w:cs="Arial"/>
          <w:sz w:val="24"/>
          <w:szCs w:val="24"/>
        </w:rPr>
        <w:t xml:space="preserve">dministración pública municipal </w:t>
      </w:r>
      <w:r>
        <w:rPr>
          <w:rFonts w:ascii="Arial" w:hAnsi="Arial" w:cs="Arial"/>
          <w:sz w:val="24"/>
          <w:szCs w:val="24"/>
        </w:rPr>
        <w:t>la cantidad $312´424,421.42</w:t>
      </w:r>
      <w:r w:rsidR="00E5491B">
        <w:rPr>
          <w:rFonts w:ascii="Arial" w:hAnsi="Arial" w:cs="Arial"/>
          <w:sz w:val="24"/>
          <w:szCs w:val="24"/>
        </w:rPr>
        <w:t xml:space="preserve"> los cuales representaron un crecimiento del 35% de crecimiento respecto del trienio anterior, en congr</w:t>
      </w:r>
      <w:r w:rsidR="00BE3F70">
        <w:rPr>
          <w:rFonts w:ascii="Arial" w:hAnsi="Arial" w:cs="Arial"/>
          <w:sz w:val="24"/>
          <w:szCs w:val="24"/>
        </w:rPr>
        <w:t>uencia con las cifra mencionada</w:t>
      </w:r>
      <w:r w:rsidR="00E5491B">
        <w:rPr>
          <w:rFonts w:ascii="Arial" w:hAnsi="Arial" w:cs="Arial"/>
          <w:sz w:val="24"/>
          <w:szCs w:val="24"/>
        </w:rPr>
        <w:t xml:space="preserve"> se despliega la siguiente gráfica</w:t>
      </w:r>
      <w:r w:rsidR="00C64780">
        <w:rPr>
          <w:rFonts w:ascii="Arial" w:hAnsi="Arial" w:cs="Arial"/>
          <w:sz w:val="24"/>
          <w:szCs w:val="24"/>
        </w:rPr>
        <w:t xml:space="preserve"> </w:t>
      </w:r>
      <w:r w:rsidR="00E5491B">
        <w:rPr>
          <w:rFonts w:ascii="Arial" w:hAnsi="Arial" w:cs="Arial"/>
          <w:sz w:val="24"/>
          <w:szCs w:val="24"/>
        </w:rPr>
        <w:t>que muestra</w:t>
      </w:r>
      <w:r w:rsidR="00C64780">
        <w:rPr>
          <w:rFonts w:ascii="Arial" w:hAnsi="Arial" w:cs="Arial"/>
          <w:sz w:val="24"/>
          <w:szCs w:val="24"/>
        </w:rPr>
        <w:t>n</w:t>
      </w:r>
      <w:r w:rsidR="00E5491B">
        <w:rPr>
          <w:rFonts w:ascii="Arial" w:hAnsi="Arial" w:cs="Arial"/>
          <w:sz w:val="24"/>
          <w:szCs w:val="24"/>
        </w:rPr>
        <w:t xml:space="preserve"> el dinamismo de crecimiento comparado con el trienio inmediato anterior</w:t>
      </w:r>
      <w:r w:rsidR="00543196">
        <w:rPr>
          <w:rFonts w:ascii="Arial" w:hAnsi="Arial" w:cs="Arial"/>
          <w:sz w:val="24"/>
          <w:szCs w:val="24"/>
        </w:rPr>
        <w:t>.</w:t>
      </w:r>
      <w:r w:rsidR="00E5491B">
        <w:rPr>
          <w:rFonts w:ascii="Arial" w:hAnsi="Arial" w:cs="Arial"/>
          <w:sz w:val="24"/>
          <w:szCs w:val="24"/>
        </w:rPr>
        <w:t xml:space="preserve"> </w:t>
      </w:r>
    </w:p>
    <w:p w:rsidR="00E5491B" w:rsidRDefault="00E5491B" w:rsidP="00C76734">
      <w:pPr>
        <w:jc w:val="both"/>
        <w:rPr>
          <w:rFonts w:ascii="Arial" w:hAnsi="Arial" w:cs="Arial"/>
          <w:sz w:val="24"/>
          <w:szCs w:val="24"/>
        </w:rPr>
      </w:pPr>
    </w:p>
    <w:p w:rsidR="00E5491B" w:rsidRDefault="00C64780" w:rsidP="00E5491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5B64265A" wp14:editId="50501DEA">
            <wp:extent cx="5612130" cy="2725420"/>
            <wp:effectExtent l="0" t="0" r="762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491B" w:rsidRDefault="00E5491B" w:rsidP="00C76734">
      <w:pPr>
        <w:jc w:val="both"/>
        <w:rPr>
          <w:rFonts w:ascii="Arial" w:hAnsi="Arial" w:cs="Arial"/>
          <w:sz w:val="24"/>
          <w:szCs w:val="24"/>
        </w:rPr>
      </w:pPr>
    </w:p>
    <w:p w:rsidR="00543196" w:rsidRDefault="00543196" w:rsidP="00C767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mismo a continuación se despliegan los siguientes cuadros comparativos en los que se muestra el comportamiento mensual de la recaudación de ingresos propios respecto de los trienios 2012-2015 y 2015-2018 en los que se desprende el crecimiento sostenido y con un incremento del 35% acumulado en los años 2016, 2017, 2018. </w:t>
      </w:r>
    </w:p>
    <w:p w:rsidR="00E5491B" w:rsidRDefault="00E5491B" w:rsidP="00C647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Sombreadoclaro-nfasis4"/>
        <w:tblW w:w="7622" w:type="dxa"/>
        <w:jc w:val="center"/>
        <w:tblLook w:val="04A0" w:firstRow="1" w:lastRow="0" w:firstColumn="1" w:lastColumn="0" w:noHBand="0" w:noVBand="1"/>
      </w:tblPr>
      <w:tblGrid>
        <w:gridCol w:w="1526"/>
        <w:gridCol w:w="2126"/>
        <w:gridCol w:w="2127"/>
        <w:gridCol w:w="1843"/>
      </w:tblGrid>
      <w:tr w:rsidR="00E5491B" w:rsidRPr="00E5491B" w:rsidTr="00C10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E5491B" w:rsidRPr="00E5491B" w:rsidRDefault="00E5491B" w:rsidP="00E549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2126" w:type="dxa"/>
            <w:noWrap/>
            <w:hideMark/>
          </w:tcPr>
          <w:p w:rsidR="00E5491B" w:rsidRPr="00E5491B" w:rsidRDefault="00E5491B" w:rsidP="00E54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2127" w:type="dxa"/>
            <w:noWrap/>
            <w:hideMark/>
          </w:tcPr>
          <w:p w:rsidR="00E5491B" w:rsidRPr="00E5491B" w:rsidRDefault="00E5491B" w:rsidP="00E54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843" w:type="dxa"/>
            <w:noWrap/>
            <w:hideMark/>
          </w:tcPr>
          <w:p w:rsidR="00E5491B" w:rsidRPr="00E5491B" w:rsidRDefault="00E5491B" w:rsidP="00E54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</w:tr>
      <w:tr w:rsidR="00E5491B" w:rsidRPr="00E5491B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E5491B" w:rsidRPr="00E5491B" w:rsidRDefault="00E5491B" w:rsidP="00E5491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2126" w:type="dxa"/>
            <w:noWrap/>
            <w:hideMark/>
          </w:tcPr>
          <w:p w:rsidR="00E5491B" w:rsidRPr="00E5491B" w:rsidRDefault="00E5491B" w:rsidP="00E5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12,996,771.63 </w:t>
            </w:r>
          </w:p>
        </w:tc>
        <w:tc>
          <w:tcPr>
            <w:tcW w:w="2127" w:type="dxa"/>
            <w:noWrap/>
            <w:hideMark/>
          </w:tcPr>
          <w:p w:rsidR="00E5491B" w:rsidRPr="00E5491B" w:rsidRDefault="00E5491B" w:rsidP="00E5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14,157,801.46 </w:t>
            </w:r>
          </w:p>
        </w:tc>
        <w:tc>
          <w:tcPr>
            <w:tcW w:w="1843" w:type="dxa"/>
            <w:noWrap/>
            <w:hideMark/>
          </w:tcPr>
          <w:p w:rsidR="00E5491B" w:rsidRPr="00E5491B" w:rsidRDefault="00E5491B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$19,209,183.90</w:t>
            </w:r>
          </w:p>
        </w:tc>
      </w:tr>
      <w:tr w:rsidR="00E5491B" w:rsidRPr="00E5491B" w:rsidTr="00C100E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E5491B" w:rsidRPr="00E5491B" w:rsidRDefault="00E5491B" w:rsidP="00E5491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2126" w:type="dxa"/>
            <w:noWrap/>
            <w:hideMark/>
          </w:tcPr>
          <w:p w:rsidR="00E5491B" w:rsidRPr="00E5491B" w:rsidRDefault="00E5491B" w:rsidP="00E5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10,965,550.13 </w:t>
            </w:r>
          </w:p>
        </w:tc>
        <w:tc>
          <w:tcPr>
            <w:tcW w:w="2127" w:type="dxa"/>
            <w:noWrap/>
            <w:hideMark/>
          </w:tcPr>
          <w:p w:rsidR="00E5491B" w:rsidRPr="00E5491B" w:rsidRDefault="00E5491B" w:rsidP="00E5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10,887,727.15 </w:t>
            </w:r>
          </w:p>
        </w:tc>
        <w:tc>
          <w:tcPr>
            <w:tcW w:w="1843" w:type="dxa"/>
            <w:noWrap/>
            <w:hideMark/>
          </w:tcPr>
          <w:p w:rsidR="00E5491B" w:rsidRPr="00E5491B" w:rsidRDefault="00E5491B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$11,672,781.59</w:t>
            </w:r>
          </w:p>
        </w:tc>
      </w:tr>
      <w:tr w:rsidR="00E5491B" w:rsidRPr="00E5491B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E5491B" w:rsidRPr="00E5491B" w:rsidRDefault="00E5491B" w:rsidP="00E5491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2126" w:type="dxa"/>
            <w:noWrap/>
            <w:hideMark/>
          </w:tcPr>
          <w:p w:rsidR="00E5491B" w:rsidRPr="00E5491B" w:rsidRDefault="00E5491B" w:rsidP="00E5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4,320,743.26 </w:t>
            </w:r>
          </w:p>
        </w:tc>
        <w:tc>
          <w:tcPr>
            <w:tcW w:w="2127" w:type="dxa"/>
            <w:noWrap/>
            <w:hideMark/>
          </w:tcPr>
          <w:p w:rsidR="00E5491B" w:rsidRPr="00E5491B" w:rsidRDefault="00E5491B" w:rsidP="00E5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6,037,631.78 </w:t>
            </w:r>
          </w:p>
        </w:tc>
        <w:tc>
          <w:tcPr>
            <w:tcW w:w="1843" w:type="dxa"/>
            <w:noWrap/>
            <w:hideMark/>
          </w:tcPr>
          <w:p w:rsidR="00E5491B" w:rsidRPr="00E5491B" w:rsidRDefault="00E5491B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$7,105,745.60</w:t>
            </w:r>
          </w:p>
        </w:tc>
      </w:tr>
      <w:tr w:rsidR="00E5491B" w:rsidRPr="00E5491B" w:rsidTr="00C100E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E5491B" w:rsidRPr="00E5491B" w:rsidRDefault="00E5491B" w:rsidP="00E5491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2126" w:type="dxa"/>
            <w:noWrap/>
            <w:hideMark/>
          </w:tcPr>
          <w:p w:rsidR="00E5491B" w:rsidRPr="00E5491B" w:rsidRDefault="00E5491B" w:rsidP="00E5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4,622,229.87 </w:t>
            </w:r>
          </w:p>
        </w:tc>
        <w:tc>
          <w:tcPr>
            <w:tcW w:w="2127" w:type="dxa"/>
            <w:noWrap/>
            <w:hideMark/>
          </w:tcPr>
          <w:p w:rsidR="00E5491B" w:rsidRPr="00E5491B" w:rsidRDefault="00E5491B" w:rsidP="00E5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4,325,745.15 </w:t>
            </w:r>
          </w:p>
        </w:tc>
        <w:tc>
          <w:tcPr>
            <w:tcW w:w="1843" w:type="dxa"/>
            <w:noWrap/>
            <w:hideMark/>
          </w:tcPr>
          <w:p w:rsidR="00E5491B" w:rsidRPr="00E5491B" w:rsidRDefault="00E5491B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$5,954,577.72</w:t>
            </w:r>
          </w:p>
        </w:tc>
      </w:tr>
      <w:tr w:rsidR="00E5491B" w:rsidRPr="00E5491B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E5491B" w:rsidRPr="00E5491B" w:rsidRDefault="00E5491B" w:rsidP="00E5491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2126" w:type="dxa"/>
            <w:noWrap/>
            <w:hideMark/>
          </w:tcPr>
          <w:p w:rsidR="00E5491B" w:rsidRPr="00E5491B" w:rsidRDefault="00E5491B" w:rsidP="00E5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4,511,169.75 </w:t>
            </w:r>
          </w:p>
        </w:tc>
        <w:tc>
          <w:tcPr>
            <w:tcW w:w="2127" w:type="dxa"/>
            <w:noWrap/>
            <w:hideMark/>
          </w:tcPr>
          <w:p w:rsidR="00E5491B" w:rsidRPr="00E5491B" w:rsidRDefault="00E5491B" w:rsidP="00E5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4,714,004.96 </w:t>
            </w:r>
          </w:p>
        </w:tc>
        <w:tc>
          <w:tcPr>
            <w:tcW w:w="1843" w:type="dxa"/>
            <w:noWrap/>
            <w:hideMark/>
          </w:tcPr>
          <w:p w:rsidR="00E5491B" w:rsidRPr="00E5491B" w:rsidRDefault="00E5491B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$4,673,280.57</w:t>
            </w:r>
          </w:p>
        </w:tc>
      </w:tr>
      <w:tr w:rsidR="00E5491B" w:rsidRPr="00E5491B" w:rsidTr="00C100E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E5491B" w:rsidRPr="00E5491B" w:rsidRDefault="00E5491B" w:rsidP="00E5491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2126" w:type="dxa"/>
            <w:noWrap/>
            <w:hideMark/>
          </w:tcPr>
          <w:p w:rsidR="00E5491B" w:rsidRPr="00E5491B" w:rsidRDefault="00E5491B" w:rsidP="00E5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3,968,269.32 </w:t>
            </w:r>
          </w:p>
        </w:tc>
        <w:tc>
          <w:tcPr>
            <w:tcW w:w="2127" w:type="dxa"/>
            <w:noWrap/>
            <w:hideMark/>
          </w:tcPr>
          <w:p w:rsidR="00E5491B" w:rsidRPr="00E5491B" w:rsidRDefault="00E5491B" w:rsidP="00E5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4,218,897.60 </w:t>
            </w:r>
          </w:p>
        </w:tc>
        <w:tc>
          <w:tcPr>
            <w:tcW w:w="1843" w:type="dxa"/>
            <w:noWrap/>
            <w:hideMark/>
          </w:tcPr>
          <w:p w:rsidR="00E5491B" w:rsidRPr="00E5491B" w:rsidRDefault="00E5491B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$9,432,662.28</w:t>
            </w:r>
          </w:p>
        </w:tc>
      </w:tr>
      <w:tr w:rsidR="00E5491B" w:rsidRPr="00E5491B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E5491B" w:rsidRPr="00E5491B" w:rsidRDefault="00E5491B" w:rsidP="00E5491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2126" w:type="dxa"/>
            <w:noWrap/>
            <w:hideMark/>
          </w:tcPr>
          <w:p w:rsidR="00E5491B" w:rsidRPr="00E5491B" w:rsidRDefault="00E5491B" w:rsidP="00E5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4,365,768.66 </w:t>
            </w:r>
          </w:p>
        </w:tc>
        <w:tc>
          <w:tcPr>
            <w:tcW w:w="2127" w:type="dxa"/>
            <w:noWrap/>
            <w:hideMark/>
          </w:tcPr>
          <w:p w:rsidR="00E5491B" w:rsidRPr="00E5491B" w:rsidRDefault="00E5491B" w:rsidP="00E5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4,342,217.71 </w:t>
            </w:r>
          </w:p>
        </w:tc>
        <w:tc>
          <w:tcPr>
            <w:tcW w:w="1843" w:type="dxa"/>
            <w:noWrap/>
            <w:hideMark/>
          </w:tcPr>
          <w:p w:rsidR="00E5491B" w:rsidRPr="00E5491B" w:rsidRDefault="00E5491B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$4,562,184.54</w:t>
            </w:r>
          </w:p>
        </w:tc>
      </w:tr>
      <w:tr w:rsidR="00E5491B" w:rsidRPr="00E5491B" w:rsidTr="00C100E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E5491B" w:rsidRPr="00E5491B" w:rsidRDefault="00E5491B" w:rsidP="00E5491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2126" w:type="dxa"/>
            <w:noWrap/>
            <w:hideMark/>
          </w:tcPr>
          <w:p w:rsidR="00E5491B" w:rsidRPr="00E5491B" w:rsidRDefault="00E5491B" w:rsidP="00E5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4,396,687.45 </w:t>
            </w:r>
          </w:p>
        </w:tc>
        <w:tc>
          <w:tcPr>
            <w:tcW w:w="2127" w:type="dxa"/>
            <w:noWrap/>
            <w:hideMark/>
          </w:tcPr>
          <w:p w:rsidR="00E5491B" w:rsidRPr="00E5491B" w:rsidRDefault="00E5491B" w:rsidP="00E5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4,339,084.04 </w:t>
            </w:r>
          </w:p>
        </w:tc>
        <w:tc>
          <w:tcPr>
            <w:tcW w:w="1843" w:type="dxa"/>
            <w:noWrap/>
            <w:hideMark/>
          </w:tcPr>
          <w:p w:rsidR="00E5491B" w:rsidRPr="00E5491B" w:rsidRDefault="00E5491B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$4,069,276.64</w:t>
            </w:r>
          </w:p>
        </w:tc>
      </w:tr>
      <w:tr w:rsidR="00E5491B" w:rsidRPr="00E5491B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E5491B" w:rsidRPr="00E5491B" w:rsidRDefault="00E5491B" w:rsidP="00E5491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2126" w:type="dxa"/>
            <w:noWrap/>
            <w:hideMark/>
          </w:tcPr>
          <w:p w:rsidR="00E5491B" w:rsidRPr="00E5491B" w:rsidRDefault="00E5491B" w:rsidP="00E5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3,669,790.88 </w:t>
            </w:r>
          </w:p>
        </w:tc>
        <w:tc>
          <w:tcPr>
            <w:tcW w:w="2127" w:type="dxa"/>
            <w:noWrap/>
            <w:hideMark/>
          </w:tcPr>
          <w:p w:rsidR="00E5491B" w:rsidRPr="00E5491B" w:rsidRDefault="00E5491B" w:rsidP="00E5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3,509,731.99 </w:t>
            </w:r>
          </w:p>
        </w:tc>
        <w:tc>
          <w:tcPr>
            <w:tcW w:w="1843" w:type="dxa"/>
            <w:noWrap/>
            <w:hideMark/>
          </w:tcPr>
          <w:p w:rsidR="00E5491B" w:rsidRPr="00E5491B" w:rsidRDefault="00E5491B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$10,103,290.31</w:t>
            </w:r>
          </w:p>
        </w:tc>
      </w:tr>
      <w:tr w:rsidR="00E5491B" w:rsidRPr="00E5491B" w:rsidTr="00C100E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E5491B" w:rsidRPr="00E5491B" w:rsidRDefault="00E5491B" w:rsidP="00E5491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2126" w:type="dxa"/>
            <w:noWrap/>
            <w:hideMark/>
          </w:tcPr>
          <w:p w:rsidR="00E5491B" w:rsidRPr="00E5491B" w:rsidRDefault="00E5491B" w:rsidP="00E5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4,393,885.68 </w:t>
            </w:r>
          </w:p>
        </w:tc>
        <w:tc>
          <w:tcPr>
            <w:tcW w:w="2127" w:type="dxa"/>
            <w:noWrap/>
            <w:hideMark/>
          </w:tcPr>
          <w:p w:rsidR="00E5491B" w:rsidRPr="00E5491B" w:rsidRDefault="00E5491B" w:rsidP="00E5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8,016,155.23 </w:t>
            </w:r>
          </w:p>
        </w:tc>
        <w:tc>
          <w:tcPr>
            <w:tcW w:w="1843" w:type="dxa"/>
            <w:noWrap/>
            <w:hideMark/>
          </w:tcPr>
          <w:p w:rsidR="00E5491B" w:rsidRPr="00E5491B" w:rsidRDefault="00E5491B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$3,337,729.33</w:t>
            </w:r>
          </w:p>
        </w:tc>
      </w:tr>
      <w:tr w:rsidR="00E5491B" w:rsidRPr="00E5491B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E5491B" w:rsidRPr="00E5491B" w:rsidRDefault="00E5491B" w:rsidP="00E5491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</w:p>
        </w:tc>
        <w:tc>
          <w:tcPr>
            <w:tcW w:w="2126" w:type="dxa"/>
            <w:noWrap/>
            <w:hideMark/>
          </w:tcPr>
          <w:p w:rsidR="00E5491B" w:rsidRPr="00E5491B" w:rsidRDefault="00E5491B" w:rsidP="00E5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4,031,995.36 </w:t>
            </w:r>
          </w:p>
        </w:tc>
        <w:tc>
          <w:tcPr>
            <w:tcW w:w="2127" w:type="dxa"/>
            <w:noWrap/>
            <w:hideMark/>
          </w:tcPr>
          <w:p w:rsidR="00E5491B" w:rsidRPr="00E5491B" w:rsidRDefault="00E5491B" w:rsidP="00E5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3,594,091.50 </w:t>
            </w:r>
          </w:p>
        </w:tc>
        <w:tc>
          <w:tcPr>
            <w:tcW w:w="1843" w:type="dxa"/>
            <w:noWrap/>
            <w:hideMark/>
          </w:tcPr>
          <w:p w:rsidR="00E5491B" w:rsidRPr="00E5491B" w:rsidRDefault="00E5491B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$3,940,543.07</w:t>
            </w:r>
          </w:p>
        </w:tc>
      </w:tr>
      <w:tr w:rsidR="00E5491B" w:rsidRPr="00E5491B" w:rsidTr="00C100E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E5491B" w:rsidRPr="00E5491B" w:rsidRDefault="00E5491B" w:rsidP="00E5491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2126" w:type="dxa"/>
            <w:noWrap/>
            <w:hideMark/>
          </w:tcPr>
          <w:p w:rsidR="00E5491B" w:rsidRPr="00E5491B" w:rsidRDefault="00E5491B" w:rsidP="00E5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4,263,834.10 </w:t>
            </w:r>
          </w:p>
        </w:tc>
        <w:tc>
          <w:tcPr>
            <w:tcW w:w="2127" w:type="dxa"/>
            <w:noWrap/>
            <w:hideMark/>
          </w:tcPr>
          <w:p w:rsidR="00E5491B" w:rsidRPr="00E5491B" w:rsidRDefault="00E5491B" w:rsidP="00E5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8,188,251.80 </w:t>
            </w:r>
          </w:p>
        </w:tc>
        <w:tc>
          <w:tcPr>
            <w:tcW w:w="1843" w:type="dxa"/>
            <w:noWrap/>
            <w:hideMark/>
          </w:tcPr>
          <w:p w:rsidR="00E5491B" w:rsidRPr="00E5491B" w:rsidRDefault="00E5491B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$4,210,389.83</w:t>
            </w:r>
          </w:p>
        </w:tc>
      </w:tr>
      <w:tr w:rsidR="00E5491B" w:rsidRPr="00E5491B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:rsidR="00E5491B" w:rsidRPr="00E5491B" w:rsidRDefault="00E5491B" w:rsidP="00E5491B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TOTAL</w:t>
            </w:r>
          </w:p>
        </w:tc>
        <w:tc>
          <w:tcPr>
            <w:tcW w:w="2126" w:type="dxa"/>
            <w:noWrap/>
            <w:hideMark/>
          </w:tcPr>
          <w:p w:rsidR="00E5491B" w:rsidRPr="00E5491B" w:rsidRDefault="00E5491B" w:rsidP="00E5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 xml:space="preserve"> $     66,506,696.09 </w:t>
            </w:r>
          </w:p>
        </w:tc>
        <w:tc>
          <w:tcPr>
            <w:tcW w:w="2127" w:type="dxa"/>
            <w:noWrap/>
            <w:hideMark/>
          </w:tcPr>
          <w:p w:rsidR="00E5491B" w:rsidRPr="00E5491B" w:rsidRDefault="00E5491B" w:rsidP="00E5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 xml:space="preserve"> $     76,331,340.37 </w:t>
            </w:r>
          </w:p>
        </w:tc>
        <w:tc>
          <w:tcPr>
            <w:tcW w:w="1843" w:type="dxa"/>
            <w:noWrap/>
            <w:hideMark/>
          </w:tcPr>
          <w:p w:rsidR="00E5491B" w:rsidRPr="00E5491B" w:rsidRDefault="00E5491B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 w:rsidRPr="00E549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 xml:space="preserve"> $   88,271,645.38 </w:t>
            </w:r>
          </w:p>
        </w:tc>
      </w:tr>
    </w:tbl>
    <w:p w:rsidR="00E5491B" w:rsidRDefault="00E5491B" w:rsidP="00C76734">
      <w:pPr>
        <w:jc w:val="both"/>
        <w:rPr>
          <w:rFonts w:ascii="Arial" w:hAnsi="Arial" w:cs="Arial"/>
          <w:sz w:val="24"/>
          <w:szCs w:val="24"/>
        </w:rPr>
      </w:pPr>
    </w:p>
    <w:p w:rsidR="00C64780" w:rsidRDefault="00C64780" w:rsidP="00C76734">
      <w:pPr>
        <w:jc w:val="both"/>
        <w:rPr>
          <w:rFonts w:ascii="Arial" w:hAnsi="Arial" w:cs="Arial"/>
          <w:sz w:val="24"/>
          <w:szCs w:val="24"/>
        </w:rPr>
      </w:pPr>
    </w:p>
    <w:p w:rsidR="00C64780" w:rsidRDefault="00C64780" w:rsidP="00C7673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Sombreadoclaro-nfasis4"/>
        <w:tblW w:w="8330" w:type="dxa"/>
        <w:jc w:val="center"/>
        <w:tblLook w:val="04A0" w:firstRow="1" w:lastRow="0" w:firstColumn="1" w:lastColumn="0" w:noHBand="0" w:noVBand="1"/>
      </w:tblPr>
      <w:tblGrid>
        <w:gridCol w:w="1860"/>
        <w:gridCol w:w="1841"/>
        <w:gridCol w:w="2268"/>
        <w:gridCol w:w="2361"/>
      </w:tblGrid>
      <w:tr w:rsidR="00C64780" w:rsidRPr="00C64780" w:rsidTr="00C10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64780" w:rsidRPr="00C64780" w:rsidRDefault="00C64780" w:rsidP="00C6478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MES</w:t>
            </w:r>
          </w:p>
        </w:tc>
        <w:tc>
          <w:tcPr>
            <w:tcW w:w="1841" w:type="dxa"/>
            <w:noWrap/>
            <w:hideMark/>
          </w:tcPr>
          <w:p w:rsidR="00C64780" w:rsidRPr="00C64780" w:rsidRDefault="00C64780" w:rsidP="00C647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268" w:type="dxa"/>
            <w:noWrap/>
            <w:hideMark/>
          </w:tcPr>
          <w:p w:rsidR="00C64780" w:rsidRPr="00C64780" w:rsidRDefault="00C64780" w:rsidP="00C647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2361" w:type="dxa"/>
            <w:hideMark/>
          </w:tcPr>
          <w:p w:rsidR="00C64780" w:rsidRPr="00C64780" w:rsidRDefault="00C64780" w:rsidP="00C647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2018</w:t>
            </w:r>
          </w:p>
        </w:tc>
      </w:tr>
      <w:tr w:rsidR="00C64780" w:rsidRPr="00C64780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64780" w:rsidRPr="00C64780" w:rsidRDefault="00C64780" w:rsidP="00C6478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1841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$16,395,543.92</w:t>
            </w:r>
          </w:p>
        </w:tc>
        <w:tc>
          <w:tcPr>
            <w:tcW w:w="2268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$26,393,145.86</w:t>
            </w:r>
          </w:p>
        </w:tc>
        <w:tc>
          <w:tcPr>
            <w:tcW w:w="2361" w:type="dxa"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$29,177,365.39</w:t>
            </w:r>
          </w:p>
        </w:tc>
      </w:tr>
      <w:tr w:rsidR="00C64780" w:rsidRPr="00C64780" w:rsidTr="00C100E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64780" w:rsidRPr="00C64780" w:rsidRDefault="00C64780" w:rsidP="00C6478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1841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$13,424,998.75</w:t>
            </w:r>
          </w:p>
        </w:tc>
        <w:tc>
          <w:tcPr>
            <w:tcW w:w="2268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$12,179,510.49</w:t>
            </w:r>
          </w:p>
        </w:tc>
        <w:tc>
          <w:tcPr>
            <w:tcW w:w="2361" w:type="dxa"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$11,063,039.16</w:t>
            </w:r>
          </w:p>
        </w:tc>
      </w:tr>
      <w:tr w:rsidR="00C64780" w:rsidRPr="00C64780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64780" w:rsidRPr="00C64780" w:rsidRDefault="00C64780" w:rsidP="00C6478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1841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$5,691,465.92</w:t>
            </w:r>
          </w:p>
        </w:tc>
        <w:tc>
          <w:tcPr>
            <w:tcW w:w="2268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$10,933,329.24</w:t>
            </w:r>
          </w:p>
        </w:tc>
        <w:tc>
          <w:tcPr>
            <w:tcW w:w="2361" w:type="dxa"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$13,237,529.17</w:t>
            </w:r>
          </w:p>
        </w:tc>
      </w:tr>
      <w:tr w:rsidR="00C64780" w:rsidRPr="00C64780" w:rsidTr="00C100E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64780" w:rsidRPr="00C64780" w:rsidRDefault="00C64780" w:rsidP="00C6478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1841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$7,872,424.82</w:t>
            </w:r>
          </w:p>
        </w:tc>
        <w:tc>
          <w:tcPr>
            <w:tcW w:w="2268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$4,708,017.77</w:t>
            </w:r>
          </w:p>
        </w:tc>
        <w:tc>
          <w:tcPr>
            <w:tcW w:w="2361" w:type="dxa"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$7,509,850.10</w:t>
            </w:r>
          </w:p>
        </w:tc>
      </w:tr>
      <w:tr w:rsidR="00C64780" w:rsidRPr="00C64780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64780" w:rsidRPr="00C64780" w:rsidRDefault="00C64780" w:rsidP="00C6478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1841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$4,845,272.22</w:t>
            </w:r>
          </w:p>
        </w:tc>
        <w:tc>
          <w:tcPr>
            <w:tcW w:w="2268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$9,702,813.80</w:t>
            </w:r>
          </w:p>
        </w:tc>
        <w:tc>
          <w:tcPr>
            <w:tcW w:w="2361" w:type="dxa"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$7,822,358.79</w:t>
            </w:r>
          </w:p>
        </w:tc>
      </w:tr>
      <w:tr w:rsidR="00C64780" w:rsidRPr="00C64780" w:rsidTr="00C100E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64780" w:rsidRPr="00C64780" w:rsidRDefault="00C64780" w:rsidP="00C6478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1841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$5,639,518.67</w:t>
            </w:r>
          </w:p>
        </w:tc>
        <w:tc>
          <w:tcPr>
            <w:tcW w:w="2268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$10,198,149.94</w:t>
            </w:r>
          </w:p>
        </w:tc>
        <w:tc>
          <w:tcPr>
            <w:tcW w:w="2361" w:type="dxa"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$6,529,937.99</w:t>
            </w:r>
          </w:p>
        </w:tc>
      </w:tr>
      <w:tr w:rsidR="00C64780" w:rsidRPr="00C64780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64780" w:rsidRPr="00C64780" w:rsidRDefault="00C64780" w:rsidP="00C6478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1841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$4,625,809.30</w:t>
            </w:r>
          </w:p>
        </w:tc>
        <w:tc>
          <w:tcPr>
            <w:tcW w:w="2268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$7,123,429.97</w:t>
            </w:r>
          </w:p>
        </w:tc>
        <w:tc>
          <w:tcPr>
            <w:tcW w:w="2361" w:type="dxa"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$6,792,779.21</w:t>
            </w:r>
          </w:p>
        </w:tc>
      </w:tr>
      <w:tr w:rsidR="00C64780" w:rsidRPr="00C64780" w:rsidTr="00C100E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64780" w:rsidRPr="00C64780" w:rsidRDefault="00C64780" w:rsidP="00C6478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1841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$4,556,003.43</w:t>
            </w:r>
          </w:p>
        </w:tc>
        <w:tc>
          <w:tcPr>
            <w:tcW w:w="2268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$6,571,091.56</w:t>
            </w:r>
          </w:p>
        </w:tc>
        <w:tc>
          <w:tcPr>
            <w:tcW w:w="2361" w:type="dxa"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$7,045,329.00</w:t>
            </w:r>
          </w:p>
        </w:tc>
      </w:tr>
      <w:tr w:rsidR="00C64780" w:rsidRPr="00C64780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64780" w:rsidRPr="00C64780" w:rsidRDefault="00C64780" w:rsidP="00C6478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1841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$4,073,776.26</w:t>
            </w:r>
          </w:p>
        </w:tc>
        <w:tc>
          <w:tcPr>
            <w:tcW w:w="2268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$4,837,112.20</w:t>
            </w:r>
          </w:p>
        </w:tc>
        <w:tc>
          <w:tcPr>
            <w:tcW w:w="2361" w:type="dxa"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$5,865,466.12</w:t>
            </w:r>
          </w:p>
        </w:tc>
      </w:tr>
      <w:tr w:rsidR="00C64780" w:rsidRPr="00C64780" w:rsidTr="00C100E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64780" w:rsidRPr="00C64780" w:rsidRDefault="00C64780" w:rsidP="00C6478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1841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$5,432,184.48</w:t>
            </w:r>
          </w:p>
        </w:tc>
        <w:tc>
          <w:tcPr>
            <w:tcW w:w="2268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$7,734,088.18</w:t>
            </w:r>
          </w:p>
        </w:tc>
        <w:tc>
          <w:tcPr>
            <w:tcW w:w="2361" w:type="dxa"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$6,538,298.76</w:t>
            </w:r>
          </w:p>
        </w:tc>
      </w:tr>
      <w:tr w:rsidR="00C64780" w:rsidRPr="00C64780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64780" w:rsidRPr="00C64780" w:rsidRDefault="00C64780" w:rsidP="00C6478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</w:p>
        </w:tc>
        <w:tc>
          <w:tcPr>
            <w:tcW w:w="1841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$4,231,956.50</w:t>
            </w:r>
          </w:p>
        </w:tc>
        <w:tc>
          <w:tcPr>
            <w:tcW w:w="2268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$9,202,518.96</w:t>
            </w:r>
          </w:p>
        </w:tc>
        <w:tc>
          <w:tcPr>
            <w:tcW w:w="2361" w:type="dxa"/>
            <w:hideMark/>
          </w:tcPr>
          <w:p w:rsidR="00C64780" w:rsidRPr="00C64780" w:rsidRDefault="00C64780" w:rsidP="00C647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$5,721,839.88</w:t>
            </w:r>
          </w:p>
        </w:tc>
      </w:tr>
      <w:tr w:rsidR="00C64780" w:rsidRPr="00C64780" w:rsidTr="00C100E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64780" w:rsidRPr="00C64780" w:rsidRDefault="00C64780" w:rsidP="00C6478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1841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$5,631,602.24</w:t>
            </w:r>
          </w:p>
        </w:tc>
        <w:tc>
          <w:tcPr>
            <w:tcW w:w="2268" w:type="dxa"/>
            <w:noWrap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$8,692,528.94</w:t>
            </w:r>
          </w:p>
        </w:tc>
        <w:tc>
          <w:tcPr>
            <w:tcW w:w="2361" w:type="dxa"/>
            <w:hideMark/>
          </w:tcPr>
          <w:p w:rsidR="00C64780" w:rsidRPr="00C64780" w:rsidRDefault="00C64780" w:rsidP="00C647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$4,419,334.43</w:t>
            </w:r>
          </w:p>
        </w:tc>
      </w:tr>
      <w:tr w:rsidR="00C64780" w:rsidRPr="00C64780" w:rsidTr="00C1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:rsidR="00C64780" w:rsidRPr="00C64780" w:rsidRDefault="00C64780" w:rsidP="00C6478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TOTAL</w:t>
            </w:r>
          </w:p>
        </w:tc>
        <w:tc>
          <w:tcPr>
            <w:tcW w:w="1841" w:type="dxa"/>
            <w:noWrap/>
            <w:hideMark/>
          </w:tcPr>
          <w:p w:rsidR="00C64780" w:rsidRPr="00C64780" w:rsidRDefault="00C64780" w:rsidP="00C64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 xml:space="preserve"> $   82,420,556.51 </w:t>
            </w:r>
          </w:p>
        </w:tc>
        <w:tc>
          <w:tcPr>
            <w:tcW w:w="2268" w:type="dxa"/>
            <w:noWrap/>
            <w:hideMark/>
          </w:tcPr>
          <w:p w:rsidR="00C64780" w:rsidRPr="00C64780" w:rsidRDefault="00C64780" w:rsidP="00C64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 xml:space="preserve"> $       118,275,736.91 </w:t>
            </w:r>
          </w:p>
        </w:tc>
        <w:tc>
          <w:tcPr>
            <w:tcW w:w="2361" w:type="dxa"/>
            <w:noWrap/>
            <w:hideMark/>
          </w:tcPr>
          <w:p w:rsidR="00C64780" w:rsidRPr="00C64780" w:rsidRDefault="00C64780" w:rsidP="00C10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 xml:space="preserve"> $       111,72</w:t>
            </w:r>
            <w:r w:rsidR="00C100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8</w:t>
            </w:r>
            <w:r w:rsidRPr="00C647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 xml:space="preserve">,128.00 </w:t>
            </w:r>
          </w:p>
        </w:tc>
      </w:tr>
    </w:tbl>
    <w:p w:rsidR="00C64780" w:rsidRDefault="00C64780" w:rsidP="00C76734">
      <w:pPr>
        <w:jc w:val="both"/>
        <w:rPr>
          <w:rFonts w:ascii="Arial" w:hAnsi="Arial" w:cs="Arial"/>
          <w:sz w:val="24"/>
          <w:szCs w:val="24"/>
        </w:rPr>
      </w:pPr>
    </w:p>
    <w:p w:rsidR="00E5491B" w:rsidRDefault="00543196" w:rsidP="00C767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 en el contexto de este tema, pondero los factores porcentuales a través del siguiente gráfico de ingresos propios que fueron obtenidos de los rubros de impuestos, derechos, productos y aprovechamientos en el último periodo de la administración correspondiente al año 2018 sobre un total de $111</w:t>
      </w:r>
      <w:proofErr w:type="gramStart"/>
      <w:r>
        <w:rPr>
          <w:rFonts w:ascii="Arial" w:hAnsi="Arial" w:cs="Arial"/>
          <w:sz w:val="24"/>
          <w:szCs w:val="24"/>
        </w:rPr>
        <w:t>,723,128.00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E5491B" w:rsidRDefault="00E5491B" w:rsidP="00C76734">
      <w:pPr>
        <w:jc w:val="both"/>
        <w:rPr>
          <w:rFonts w:ascii="Arial" w:hAnsi="Arial" w:cs="Arial"/>
          <w:sz w:val="24"/>
          <w:szCs w:val="24"/>
        </w:rPr>
      </w:pPr>
    </w:p>
    <w:p w:rsidR="00E5491B" w:rsidRDefault="00543196" w:rsidP="00C76734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73B2E21F" wp14:editId="3099BCBB">
            <wp:simplePos x="0" y="0"/>
            <wp:positionH relativeFrom="column">
              <wp:posOffset>269240</wp:posOffset>
            </wp:positionH>
            <wp:positionV relativeFrom="paragraph">
              <wp:posOffset>13970</wp:posOffset>
            </wp:positionV>
            <wp:extent cx="5057775" cy="3524250"/>
            <wp:effectExtent l="0" t="0" r="0" b="0"/>
            <wp:wrapTight wrapText="bothSides">
              <wp:wrapPolygon edited="0">
                <wp:start x="0" y="0"/>
                <wp:lineTo x="0" y="21483"/>
                <wp:lineTo x="21478" y="21483"/>
                <wp:lineTo x="21478" y="0"/>
                <wp:lineTo x="0" y="0"/>
              </wp:wrapPolygon>
            </wp:wrapTight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91B" w:rsidRDefault="00E5491B" w:rsidP="00C76734">
      <w:pPr>
        <w:jc w:val="both"/>
        <w:rPr>
          <w:rFonts w:ascii="Arial" w:hAnsi="Arial" w:cs="Arial"/>
          <w:sz w:val="24"/>
          <w:szCs w:val="24"/>
        </w:rPr>
      </w:pPr>
    </w:p>
    <w:p w:rsidR="004E2C5D" w:rsidRDefault="004E2C5D" w:rsidP="00D165E8">
      <w:pPr>
        <w:jc w:val="both"/>
        <w:rPr>
          <w:rFonts w:ascii="Arial" w:hAnsi="Arial" w:cs="Arial"/>
          <w:b/>
          <w:color w:val="B2A1C7" w:themeColor="accent4" w:themeTint="99"/>
          <w:sz w:val="18"/>
          <w:szCs w:val="18"/>
        </w:rPr>
      </w:pPr>
    </w:p>
    <w:p w:rsidR="004E2C5D" w:rsidRPr="007A69D7" w:rsidRDefault="004E2C5D" w:rsidP="00D165E8">
      <w:pPr>
        <w:jc w:val="both"/>
        <w:rPr>
          <w:rFonts w:ascii="Arial" w:hAnsi="Arial" w:cs="Arial"/>
          <w:b/>
          <w:color w:val="B2A1C7" w:themeColor="accent4" w:themeTint="99"/>
          <w:sz w:val="18"/>
          <w:szCs w:val="18"/>
        </w:rPr>
      </w:pPr>
    </w:p>
    <w:p w:rsidR="00860D16" w:rsidRDefault="00860D16" w:rsidP="00D165E8">
      <w:pPr>
        <w:jc w:val="both"/>
        <w:rPr>
          <w:rFonts w:ascii="Arial" w:hAnsi="Arial" w:cs="Arial"/>
          <w:sz w:val="24"/>
          <w:szCs w:val="24"/>
        </w:rPr>
      </w:pPr>
    </w:p>
    <w:p w:rsidR="008A5876" w:rsidRDefault="008A5876" w:rsidP="008A5876">
      <w:pPr>
        <w:jc w:val="both"/>
        <w:rPr>
          <w:rFonts w:ascii="Arial" w:hAnsi="Arial" w:cs="Arial"/>
          <w:sz w:val="24"/>
          <w:szCs w:val="24"/>
        </w:rPr>
      </w:pPr>
    </w:p>
    <w:p w:rsidR="00520529" w:rsidRDefault="00520529" w:rsidP="008A5876">
      <w:pPr>
        <w:jc w:val="both"/>
        <w:rPr>
          <w:rFonts w:ascii="Arial" w:hAnsi="Arial" w:cs="Arial"/>
          <w:sz w:val="24"/>
          <w:szCs w:val="24"/>
        </w:rPr>
      </w:pPr>
    </w:p>
    <w:p w:rsidR="004E2C5D" w:rsidRDefault="004E2C5D" w:rsidP="008A5876">
      <w:pPr>
        <w:jc w:val="both"/>
        <w:rPr>
          <w:rFonts w:ascii="Arial" w:hAnsi="Arial" w:cs="Arial"/>
          <w:sz w:val="24"/>
          <w:szCs w:val="24"/>
        </w:rPr>
      </w:pPr>
    </w:p>
    <w:p w:rsidR="00520529" w:rsidRDefault="00520529" w:rsidP="008A5876">
      <w:pPr>
        <w:jc w:val="both"/>
        <w:rPr>
          <w:rFonts w:ascii="Arial" w:hAnsi="Arial" w:cs="Arial"/>
          <w:sz w:val="24"/>
          <w:szCs w:val="24"/>
        </w:rPr>
      </w:pPr>
    </w:p>
    <w:p w:rsidR="00BE3F70" w:rsidRDefault="00BE3F70" w:rsidP="008A5876">
      <w:pPr>
        <w:rPr>
          <w:rFonts w:ascii="Arial" w:hAnsi="Arial" w:cs="Arial"/>
          <w:b/>
          <w:color w:val="B2A1C7" w:themeColor="accent4" w:themeTint="99"/>
        </w:rPr>
      </w:pPr>
    </w:p>
    <w:p w:rsidR="00BE3F70" w:rsidRDefault="00BE3F70" w:rsidP="008A5876">
      <w:pPr>
        <w:rPr>
          <w:rFonts w:ascii="Arial" w:hAnsi="Arial" w:cs="Arial"/>
          <w:b/>
          <w:color w:val="B2A1C7" w:themeColor="accent4" w:themeTint="99"/>
        </w:rPr>
      </w:pPr>
    </w:p>
    <w:p w:rsidR="00BE3F70" w:rsidRDefault="00BE3F70" w:rsidP="008A5876">
      <w:pPr>
        <w:rPr>
          <w:rFonts w:ascii="Arial" w:hAnsi="Arial" w:cs="Arial"/>
          <w:b/>
          <w:color w:val="B2A1C7" w:themeColor="accent4" w:themeTint="99"/>
        </w:rPr>
      </w:pPr>
    </w:p>
    <w:p w:rsidR="00BE3F70" w:rsidRDefault="00BE3F70" w:rsidP="008A5876">
      <w:pPr>
        <w:rPr>
          <w:rFonts w:ascii="Arial" w:hAnsi="Arial" w:cs="Arial"/>
          <w:b/>
          <w:color w:val="B2A1C7" w:themeColor="accent4" w:themeTint="99"/>
        </w:rPr>
      </w:pPr>
    </w:p>
    <w:p w:rsidR="008A5876" w:rsidRPr="00CE3DD7" w:rsidRDefault="008A5876" w:rsidP="008A5876">
      <w:pPr>
        <w:rPr>
          <w:rFonts w:ascii="Arial" w:hAnsi="Arial" w:cs="Arial"/>
          <w:b/>
          <w:color w:val="B2A1C7" w:themeColor="accent4" w:themeTint="99"/>
        </w:rPr>
      </w:pPr>
      <w:bookmarkStart w:id="0" w:name="_GoBack"/>
      <w:bookmarkEnd w:id="0"/>
      <w:r w:rsidRPr="00CE3DD7">
        <w:rPr>
          <w:rFonts w:ascii="Arial" w:hAnsi="Arial" w:cs="Arial"/>
          <w:b/>
          <w:color w:val="B2A1C7" w:themeColor="accent4" w:themeTint="99"/>
        </w:rPr>
        <w:t>Temática</w:t>
      </w:r>
    </w:p>
    <w:p w:rsidR="008A5876" w:rsidRPr="00CE3DD7" w:rsidRDefault="008A5876" w:rsidP="008A5876">
      <w:pPr>
        <w:rPr>
          <w:rFonts w:ascii="Arial" w:hAnsi="Arial" w:cs="Arial"/>
          <w:b/>
          <w:color w:val="B2A1C7" w:themeColor="accent4" w:themeTint="99"/>
          <w:sz w:val="24"/>
          <w:szCs w:val="24"/>
        </w:rPr>
      </w:pPr>
      <w:r>
        <w:rPr>
          <w:rFonts w:ascii="Arial" w:hAnsi="Arial" w:cs="Arial"/>
          <w:b/>
          <w:color w:val="B2A1C7" w:themeColor="accent4" w:themeTint="99"/>
          <w:sz w:val="24"/>
          <w:szCs w:val="24"/>
        </w:rPr>
        <w:t>RECUPERACIÓN DE REZAGOS DE INGRESOS</w:t>
      </w:r>
    </w:p>
    <w:p w:rsidR="00520529" w:rsidRPr="00CE3DD7" w:rsidRDefault="00520529" w:rsidP="00520529">
      <w:pPr>
        <w:jc w:val="both"/>
        <w:rPr>
          <w:rFonts w:ascii="Arial" w:hAnsi="Arial" w:cs="Arial"/>
          <w:b/>
          <w:color w:val="B2A1C7" w:themeColor="accent4" w:themeTint="99"/>
          <w:sz w:val="18"/>
          <w:szCs w:val="18"/>
        </w:rPr>
      </w:pPr>
      <w:r w:rsidRPr="00CE3DD7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De acuerdo a los indicadores financieros en el rubro de créditos fiscales, al finalizar el periodo 2015 fue contabilizada la cantidad de $21´017,276.84 de los cuales por medio de estrategias de exhortación, y notificación a la población que </w:t>
      </w:r>
      <w:r w:rsidR="005E672D">
        <w:rPr>
          <w:rFonts w:ascii="Arial" w:hAnsi="Arial" w:cs="Arial"/>
          <w:b/>
          <w:color w:val="B2A1C7" w:themeColor="accent4" w:themeTint="99"/>
          <w:sz w:val="18"/>
          <w:szCs w:val="18"/>
        </w:rPr>
        <w:t>se constituyó en</w:t>
      </w:r>
      <w:r w:rsidRPr="00CE3DD7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mora</w:t>
      </w:r>
      <w:r w:rsidR="005E672D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durante ejercicios anteriores, durante el trienio   </w:t>
      </w:r>
      <w:r w:rsidRPr="00CE3DD7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se logró recuperar un total </w:t>
      </w:r>
      <w:r w:rsidR="005E672D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13´866,600.78 que representan el 66% del total mencionado con anterioridad y que vinieron a fortalecer las finanzas públicas municipales. </w:t>
      </w:r>
      <w:r w:rsidRPr="00CE3DD7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. </w:t>
      </w:r>
    </w:p>
    <w:p w:rsidR="005E672D" w:rsidRDefault="007A69D7" w:rsidP="007A69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los registros del sistema de administración de contabilidad municipal interno</w:t>
      </w:r>
      <w:r w:rsidR="001906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E672D">
        <w:rPr>
          <w:rFonts w:ascii="Arial" w:hAnsi="Arial" w:cs="Arial"/>
          <w:sz w:val="24"/>
          <w:szCs w:val="24"/>
        </w:rPr>
        <w:t xml:space="preserve">fueron identificados al principio de la administración 2015-2018 $21´017,276.84 </w:t>
      </w:r>
      <w:r w:rsidR="0019067D">
        <w:rPr>
          <w:rFonts w:ascii="Arial" w:hAnsi="Arial" w:cs="Arial"/>
          <w:sz w:val="24"/>
          <w:szCs w:val="24"/>
        </w:rPr>
        <w:t>por concepto de rezago en diversos rubros de contribuciones originados por mora por parte de la ciudadanía en diversos ejercicios fiscales. C</w:t>
      </w:r>
      <w:r>
        <w:rPr>
          <w:rFonts w:ascii="Arial" w:hAnsi="Arial" w:cs="Arial"/>
          <w:sz w:val="24"/>
          <w:szCs w:val="24"/>
        </w:rPr>
        <w:t xml:space="preserve">omo resultado de la estrategia para la recuperación del rezago </w:t>
      </w:r>
      <w:r w:rsidR="005E672D">
        <w:rPr>
          <w:rFonts w:ascii="Arial" w:hAnsi="Arial" w:cs="Arial"/>
          <w:sz w:val="24"/>
          <w:szCs w:val="24"/>
        </w:rPr>
        <w:t>a través</w:t>
      </w:r>
      <w:r>
        <w:rPr>
          <w:rFonts w:ascii="Arial" w:hAnsi="Arial" w:cs="Arial"/>
          <w:sz w:val="24"/>
          <w:szCs w:val="24"/>
        </w:rPr>
        <w:t xml:space="preserve"> </w:t>
      </w:r>
      <w:r w:rsidR="005E672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el área de Apremios </w:t>
      </w:r>
      <w:r w:rsidR="005E672D">
        <w:rPr>
          <w:rFonts w:ascii="Arial" w:hAnsi="Arial" w:cs="Arial"/>
          <w:sz w:val="24"/>
          <w:szCs w:val="24"/>
        </w:rPr>
        <w:t>por medio de notificaciones y exhortaciones a los contribuyentes deudores, fue recuperada</w:t>
      </w:r>
      <w:r w:rsidR="0019067D">
        <w:rPr>
          <w:rFonts w:ascii="Arial" w:hAnsi="Arial" w:cs="Arial"/>
          <w:sz w:val="24"/>
          <w:szCs w:val="24"/>
        </w:rPr>
        <w:t xml:space="preserve"> en los tres años</w:t>
      </w:r>
      <w:r w:rsidR="005E672D">
        <w:rPr>
          <w:rFonts w:ascii="Arial" w:hAnsi="Arial" w:cs="Arial"/>
          <w:sz w:val="24"/>
          <w:szCs w:val="24"/>
        </w:rPr>
        <w:t xml:space="preserve"> la cantidad de 13´866,600.78</w:t>
      </w:r>
      <w:r w:rsidR="0019067D">
        <w:rPr>
          <w:rFonts w:ascii="Arial" w:hAnsi="Arial" w:cs="Arial"/>
          <w:sz w:val="24"/>
          <w:szCs w:val="24"/>
        </w:rPr>
        <w:t>,</w:t>
      </w:r>
      <w:r w:rsidR="005E672D">
        <w:rPr>
          <w:rFonts w:ascii="Arial" w:hAnsi="Arial" w:cs="Arial"/>
          <w:sz w:val="24"/>
          <w:szCs w:val="24"/>
        </w:rPr>
        <w:t xml:space="preserve"> que representan el 66% de la cantidad antes mencionada, ponderando que con el resultado de la mencionada labor de recuperación</w:t>
      </w:r>
      <w:r w:rsidR="0019067D">
        <w:rPr>
          <w:rFonts w:ascii="Arial" w:hAnsi="Arial" w:cs="Arial"/>
          <w:sz w:val="24"/>
          <w:szCs w:val="24"/>
        </w:rPr>
        <w:t>,</w:t>
      </w:r>
      <w:r w:rsidR="005E672D">
        <w:rPr>
          <w:rFonts w:ascii="Arial" w:hAnsi="Arial" w:cs="Arial"/>
          <w:sz w:val="24"/>
          <w:szCs w:val="24"/>
        </w:rPr>
        <w:t xml:space="preserve"> fue posible fortalecer las finanzas públicas y en consecuencia  impulsar el equilibrio y </w:t>
      </w:r>
      <w:r w:rsidR="0019067D">
        <w:rPr>
          <w:rFonts w:ascii="Arial" w:hAnsi="Arial" w:cs="Arial"/>
          <w:sz w:val="24"/>
          <w:szCs w:val="24"/>
        </w:rPr>
        <w:t xml:space="preserve">saneamiento de la Hacienda Municipal. </w:t>
      </w:r>
      <w:r w:rsidR="005E672D">
        <w:rPr>
          <w:rFonts w:ascii="Arial" w:hAnsi="Arial" w:cs="Arial"/>
          <w:sz w:val="24"/>
          <w:szCs w:val="24"/>
        </w:rPr>
        <w:t xml:space="preserve"> </w:t>
      </w:r>
    </w:p>
    <w:p w:rsidR="007A69D7" w:rsidRDefault="007A69D7" w:rsidP="007A69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contexto anterior se despliega el gráfico siguiente que muestra el comportamiento del avance en la recuperación mismo que fue proyectando a la alza durante los tres años del periodo de este gobierno en cumplimiento a lo planteado en el Plan de Desarrollo municipal</w:t>
      </w:r>
      <w:r w:rsidR="0019067D">
        <w:rPr>
          <w:rFonts w:ascii="Arial" w:hAnsi="Arial" w:cs="Arial"/>
          <w:sz w:val="24"/>
          <w:szCs w:val="24"/>
        </w:rPr>
        <w:t xml:space="preserve"> y los Programas Operativos Anuales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634DDB" w:rsidRDefault="00634DDB" w:rsidP="007A69D7">
      <w:pPr>
        <w:jc w:val="both"/>
        <w:rPr>
          <w:rFonts w:ascii="Arial" w:hAnsi="Arial" w:cs="Arial"/>
          <w:sz w:val="24"/>
          <w:szCs w:val="24"/>
        </w:rPr>
      </w:pPr>
    </w:p>
    <w:p w:rsidR="007A69D7" w:rsidRDefault="0019067D" w:rsidP="0019067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1210F63F" wp14:editId="2FC39C37">
            <wp:extent cx="5129213" cy="27432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7A69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E7" w:rsidRDefault="00DB20E7" w:rsidP="002C113C">
      <w:pPr>
        <w:spacing w:after="0" w:line="240" w:lineRule="auto"/>
      </w:pPr>
      <w:r>
        <w:separator/>
      </w:r>
    </w:p>
  </w:endnote>
  <w:endnote w:type="continuationSeparator" w:id="0">
    <w:p w:rsidR="00DB20E7" w:rsidRDefault="00DB20E7" w:rsidP="002C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E7" w:rsidRDefault="00DB20E7" w:rsidP="002C113C">
      <w:pPr>
        <w:spacing w:after="0" w:line="240" w:lineRule="auto"/>
      </w:pPr>
      <w:r>
        <w:separator/>
      </w:r>
    </w:p>
  </w:footnote>
  <w:footnote w:type="continuationSeparator" w:id="0">
    <w:p w:rsidR="00DB20E7" w:rsidRDefault="00DB20E7" w:rsidP="002C1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D2"/>
    <w:rsid w:val="00022303"/>
    <w:rsid w:val="000A5DFB"/>
    <w:rsid w:val="001250B3"/>
    <w:rsid w:val="0019067D"/>
    <w:rsid w:val="001A0B3F"/>
    <w:rsid w:val="001D1213"/>
    <w:rsid w:val="001D1895"/>
    <w:rsid w:val="001D3F0A"/>
    <w:rsid w:val="001E2D41"/>
    <w:rsid w:val="00202F47"/>
    <w:rsid w:val="00236F15"/>
    <w:rsid w:val="00253344"/>
    <w:rsid w:val="00297C11"/>
    <w:rsid w:val="002C113C"/>
    <w:rsid w:val="002C2630"/>
    <w:rsid w:val="002C3FA1"/>
    <w:rsid w:val="002E09A3"/>
    <w:rsid w:val="003532BE"/>
    <w:rsid w:val="003662F2"/>
    <w:rsid w:val="003A143E"/>
    <w:rsid w:val="003A691F"/>
    <w:rsid w:val="003B5D42"/>
    <w:rsid w:val="003C1628"/>
    <w:rsid w:val="00400FB6"/>
    <w:rsid w:val="00416D92"/>
    <w:rsid w:val="004375F1"/>
    <w:rsid w:val="004800CD"/>
    <w:rsid w:val="004B0399"/>
    <w:rsid w:val="004C69FC"/>
    <w:rsid w:val="004E2C5D"/>
    <w:rsid w:val="00520529"/>
    <w:rsid w:val="00532A77"/>
    <w:rsid w:val="00543196"/>
    <w:rsid w:val="00560210"/>
    <w:rsid w:val="005830D6"/>
    <w:rsid w:val="00592378"/>
    <w:rsid w:val="005C1ADD"/>
    <w:rsid w:val="005E3DFB"/>
    <w:rsid w:val="005E672D"/>
    <w:rsid w:val="006019E1"/>
    <w:rsid w:val="00624B84"/>
    <w:rsid w:val="0062761A"/>
    <w:rsid w:val="00634DDB"/>
    <w:rsid w:val="006351B0"/>
    <w:rsid w:val="00650FF0"/>
    <w:rsid w:val="00660456"/>
    <w:rsid w:val="006F4DF0"/>
    <w:rsid w:val="006F7130"/>
    <w:rsid w:val="00711CEA"/>
    <w:rsid w:val="007265F6"/>
    <w:rsid w:val="00760DEC"/>
    <w:rsid w:val="00797095"/>
    <w:rsid w:val="00797C5B"/>
    <w:rsid w:val="007A69D7"/>
    <w:rsid w:val="007D4775"/>
    <w:rsid w:val="007E20F2"/>
    <w:rsid w:val="007E7923"/>
    <w:rsid w:val="007F0E3C"/>
    <w:rsid w:val="007F1709"/>
    <w:rsid w:val="007F7B53"/>
    <w:rsid w:val="0081035B"/>
    <w:rsid w:val="00860D16"/>
    <w:rsid w:val="00892A8E"/>
    <w:rsid w:val="008A5876"/>
    <w:rsid w:val="008C5404"/>
    <w:rsid w:val="008C72F3"/>
    <w:rsid w:val="008E436E"/>
    <w:rsid w:val="009060CA"/>
    <w:rsid w:val="009666A3"/>
    <w:rsid w:val="009850F8"/>
    <w:rsid w:val="009B2021"/>
    <w:rsid w:val="009C397A"/>
    <w:rsid w:val="00A01260"/>
    <w:rsid w:val="00A8533D"/>
    <w:rsid w:val="00AA013E"/>
    <w:rsid w:val="00AE00A9"/>
    <w:rsid w:val="00B5037C"/>
    <w:rsid w:val="00B82D49"/>
    <w:rsid w:val="00B84EFB"/>
    <w:rsid w:val="00B92F5B"/>
    <w:rsid w:val="00BB22C6"/>
    <w:rsid w:val="00BC5422"/>
    <w:rsid w:val="00BD6245"/>
    <w:rsid w:val="00BE3F70"/>
    <w:rsid w:val="00BF2FBA"/>
    <w:rsid w:val="00BF3854"/>
    <w:rsid w:val="00BF3993"/>
    <w:rsid w:val="00C04782"/>
    <w:rsid w:val="00C100E9"/>
    <w:rsid w:val="00C64780"/>
    <w:rsid w:val="00C76734"/>
    <w:rsid w:val="00C94D37"/>
    <w:rsid w:val="00CA5A47"/>
    <w:rsid w:val="00CE3DD7"/>
    <w:rsid w:val="00CF69D4"/>
    <w:rsid w:val="00CF7FE5"/>
    <w:rsid w:val="00D165E8"/>
    <w:rsid w:val="00D3018D"/>
    <w:rsid w:val="00D43E6A"/>
    <w:rsid w:val="00D471B6"/>
    <w:rsid w:val="00D81059"/>
    <w:rsid w:val="00DB20E7"/>
    <w:rsid w:val="00DB45D4"/>
    <w:rsid w:val="00DC5D76"/>
    <w:rsid w:val="00DE164C"/>
    <w:rsid w:val="00DE6CB8"/>
    <w:rsid w:val="00DF3708"/>
    <w:rsid w:val="00E26009"/>
    <w:rsid w:val="00E33C5B"/>
    <w:rsid w:val="00E51955"/>
    <w:rsid w:val="00E5491B"/>
    <w:rsid w:val="00F60D80"/>
    <w:rsid w:val="00F70900"/>
    <w:rsid w:val="00F74DD2"/>
    <w:rsid w:val="00F77987"/>
    <w:rsid w:val="00F814BD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13C"/>
  </w:style>
  <w:style w:type="paragraph" w:styleId="Piedepgina">
    <w:name w:val="footer"/>
    <w:basedOn w:val="Normal"/>
    <w:link w:val="PiedepginaCar"/>
    <w:uiPriority w:val="99"/>
    <w:unhideWhenUsed/>
    <w:rsid w:val="002C1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13C"/>
  </w:style>
  <w:style w:type="paragraph" w:styleId="Textodeglobo">
    <w:name w:val="Balloon Text"/>
    <w:basedOn w:val="Normal"/>
    <w:link w:val="TextodegloboCar"/>
    <w:uiPriority w:val="99"/>
    <w:semiHidden/>
    <w:unhideWhenUsed/>
    <w:rsid w:val="00CA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A47"/>
    <w:rPr>
      <w:rFonts w:ascii="Tahoma" w:hAnsi="Tahoma" w:cs="Tahoma"/>
      <w:sz w:val="16"/>
      <w:szCs w:val="16"/>
    </w:rPr>
  </w:style>
  <w:style w:type="table" w:styleId="Listaclara-nfasis2">
    <w:name w:val="Light List Accent 2"/>
    <w:basedOn w:val="Tablanormal"/>
    <w:uiPriority w:val="61"/>
    <w:rsid w:val="00DE16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6">
    <w:name w:val="Light List Accent 6"/>
    <w:basedOn w:val="Tablanormal"/>
    <w:uiPriority w:val="61"/>
    <w:rsid w:val="00C6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-nfasis4">
    <w:name w:val="Light Shading Accent 4"/>
    <w:basedOn w:val="Tablanormal"/>
    <w:uiPriority w:val="60"/>
    <w:rsid w:val="00C100E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clara-nfasis4">
    <w:name w:val="Light Grid Accent 4"/>
    <w:basedOn w:val="Tablanormal"/>
    <w:uiPriority w:val="62"/>
    <w:rsid w:val="00C100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13C"/>
  </w:style>
  <w:style w:type="paragraph" w:styleId="Piedepgina">
    <w:name w:val="footer"/>
    <w:basedOn w:val="Normal"/>
    <w:link w:val="PiedepginaCar"/>
    <w:uiPriority w:val="99"/>
    <w:unhideWhenUsed/>
    <w:rsid w:val="002C1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13C"/>
  </w:style>
  <w:style w:type="paragraph" w:styleId="Textodeglobo">
    <w:name w:val="Balloon Text"/>
    <w:basedOn w:val="Normal"/>
    <w:link w:val="TextodegloboCar"/>
    <w:uiPriority w:val="99"/>
    <w:semiHidden/>
    <w:unhideWhenUsed/>
    <w:rsid w:val="00CA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A47"/>
    <w:rPr>
      <w:rFonts w:ascii="Tahoma" w:hAnsi="Tahoma" w:cs="Tahoma"/>
      <w:sz w:val="16"/>
      <w:szCs w:val="16"/>
    </w:rPr>
  </w:style>
  <w:style w:type="table" w:styleId="Listaclara-nfasis2">
    <w:name w:val="Light List Accent 2"/>
    <w:basedOn w:val="Tablanormal"/>
    <w:uiPriority w:val="61"/>
    <w:rsid w:val="00DE16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6">
    <w:name w:val="Light List Accent 6"/>
    <w:basedOn w:val="Tablanormal"/>
    <w:uiPriority w:val="61"/>
    <w:rsid w:val="00C6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-nfasis4">
    <w:name w:val="Light Shading Accent 4"/>
    <w:basedOn w:val="Tablanormal"/>
    <w:uiPriority w:val="60"/>
    <w:rsid w:val="00C100E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clara-nfasis4">
    <w:name w:val="Light Grid Accent 4"/>
    <w:basedOn w:val="Tablanormal"/>
    <w:uiPriority w:val="62"/>
    <w:rsid w:val="00C100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3ER%20INFORME%20DE%20GOBIERNO\GRAFICOS%20DE%203ER%20INFORME%20DE%20GOBIERN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GRAFICOS%20DE%203ER%20INFORME%20DE%20GOBIERN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J:\GRAFICOS%20DE%203ER%20INFORME%20DE%20GOBIERN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J:\GRAFICOS%20DE%203ER%20INFORME%20DE%20GOBIERN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INGRESOS TOTALES</a:t>
            </a:r>
          </a:p>
        </c:rich>
      </c:tx>
      <c:layout>
        <c:manualLayout>
          <c:xMode val="edge"/>
          <c:yMode val="edge"/>
          <c:x val="0.30756756756756759"/>
          <c:y val="4.854368932038834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Hoja2!$D$3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8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hade val="58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shade val="58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Hoja2!$A$4:$A$15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Hoja2!$D$4:$D$15</c:f>
            </c:numRef>
          </c:val>
        </c:ser>
        <c:ser>
          <c:idx val="1"/>
          <c:order val="1"/>
          <c:tx>
            <c:strRef>
              <c:f>Hoja2!$E$3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86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hade val="86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shade val="8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Hoja2!$A$4:$A$15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Hoja2!$E$4:$E$15</c:f>
              <c:numCache>
                <c:formatCode>"$"#,##0.00_);[Red]\("$"#,##0.00\)</c:formatCode>
                <c:ptCount val="12"/>
                <c:pt idx="0">
                  <c:v>31058159.949999999</c:v>
                </c:pt>
                <c:pt idx="1">
                  <c:v>29195785.809999999</c:v>
                </c:pt>
                <c:pt idx="2">
                  <c:v>27826427.350000001</c:v>
                </c:pt>
                <c:pt idx="3">
                  <c:v>29210424.469999999</c:v>
                </c:pt>
                <c:pt idx="4">
                  <c:v>35105133.700000003</c:v>
                </c:pt>
                <c:pt idx="5">
                  <c:v>26182153.350000001</c:v>
                </c:pt>
                <c:pt idx="6">
                  <c:v>40964261.439999998</c:v>
                </c:pt>
                <c:pt idx="7">
                  <c:v>53452298.189999998</c:v>
                </c:pt>
                <c:pt idx="8">
                  <c:v>45873406.770000003</c:v>
                </c:pt>
                <c:pt idx="9">
                  <c:v>21319723.52</c:v>
                </c:pt>
                <c:pt idx="10">
                  <c:v>20367788.68</c:v>
                </c:pt>
                <c:pt idx="11">
                  <c:v>11521024.48</c:v>
                </c:pt>
              </c:numCache>
            </c:numRef>
          </c:val>
        </c:ser>
        <c:ser>
          <c:idx val="2"/>
          <c:order val="2"/>
          <c:tx>
            <c:strRef>
              <c:f>Hoja2!$F$3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86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tint val="86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tint val="8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Hoja2!$A$4:$A$15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Hoja2!$F$4:$F$15</c:f>
              <c:numCache>
                <c:formatCode>"$"#,##0.00_);[Red]\("$"#,##0.00\)</c:formatCode>
                <c:ptCount val="12"/>
                <c:pt idx="0">
                  <c:v>37275128.469999999</c:v>
                </c:pt>
                <c:pt idx="1">
                  <c:v>38947478.270000003</c:v>
                </c:pt>
                <c:pt idx="2">
                  <c:v>38404710.780000001</c:v>
                </c:pt>
                <c:pt idx="3">
                  <c:v>34432281.509999998</c:v>
                </c:pt>
                <c:pt idx="4">
                  <c:v>32622781.219999999</c:v>
                </c:pt>
                <c:pt idx="5">
                  <c:v>54283661.700000003</c:v>
                </c:pt>
                <c:pt idx="6">
                  <c:v>40105969.920000002</c:v>
                </c:pt>
                <c:pt idx="7">
                  <c:v>37607971.020000003</c:v>
                </c:pt>
                <c:pt idx="8">
                  <c:v>43567858.990000002</c:v>
                </c:pt>
                <c:pt idx="9">
                  <c:v>34019411.859999999</c:v>
                </c:pt>
                <c:pt idx="10">
                  <c:v>31656884.370000001</c:v>
                </c:pt>
                <c:pt idx="11">
                  <c:v>34845137.649999999</c:v>
                </c:pt>
              </c:numCache>
            </c:numRef>
          </c:val>
        </c:ser>
        <c:ser>
          <c:idx val="3"/>
          <c:order val="3"/>
          <c:tx>
            <c:strRef>
              <c:f>Hoja2!$G$3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8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tint val="58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tint val="58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Hoja2!$A$4:$A$15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Hoja2!$G$4:$G$15</c:f>
              <c:numCache>
                <c:formatCode>"$"#,##0.00_);[Red]\("$"#,##0.00\)</c:formatCode>
                <c:ptCount val="12"/>
                <c:pt idx="0">
                  <c:v>50767033.68</c:v>
                </c:pt>
                <c:pt idx="1">
                  <c:v>36830818.530000001</c:v>
                </c:pt>
                <c:pt idx="2">
                  <c:v>50329254.530000001</c:v>
                </c:pt>
                <c:pt idx="3">
                  <c:v>33841733.280000001</c:v>
                </c:pt>
                <c:pt idx="4">
                  <c:v>40730878.950000003</c:v>
                </c:pt>
                <c:pt idx="5">
                  <c:v>32660838.739999998</c:v>
                </c:pt>
                <c:pt idx="6">
                  <c:v>33662039.509999998</c:v>
                </c:pt>
                <c:pt idx="7">
                  <c:v>49337744.299999997</c:v>
                </c:pt>
                <c:pt idx="8">
                  <c:v>47399402.159999996</c:v>
                </c:pt>
                <c:pt idx="9">
                  <c:v>31096746.57</c:v>
                </c:pt>
                <c:pt idx="10">
                  <c:v>23358148.449999999</c:v>
                </c:pt>
                <c:pt idx="11">
                  <c:v>22955764.780000001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7850112"/>
        <c:axId val="108811008"/>
      </c:barChart>
      <c:catAx>
        <c:axId val="5785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8811008"/>
        <c:crosses val="autoZero"/>
        <c:auto val="1"/>
        <c:lblAlgn val="ctr"/>
        <c:lblOffset val="100"/>
        <c:noMultiLvlLbl val="0"/>
      </c:catAx>
      <c:valAx>
        <c:axId val="10881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785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INGRESOS PROPIOS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Hoja2!$E$28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8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hade val="58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shade val="58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Hoja2!$A$29:$A$40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Hoja2!$E$29:$E$40</c:f>
              <c:numCache>
                <c:formatCode>"$"#,##0.00_);[Red]\("$"#,##0.00\)</c:formatCode>
                <c:ptCount val="12"/>
                <c:pt idx="0">
                  <c:v>16395543.92</c:v>
                </c:pt>
                <c:pt idx="1">
                  <c:v>13424998.75</c:v>
                </c:pt>
                <c:pt idx="2">
                  <c:v>5691465.9199999999</c:v>
                </c:pt>
                <c:pt idx="3">
                  <c:v>7872424.8200000003</c:v>
                </c:pt>
                <c:pt idx="4">
                  <c:v>4845272.22</c:v>
                </c:pt>
                <c:pt idx="5">
                  <c:v>5639518.6699999999</c:v>
                </c:pt>
                <c:pt idx="6">
                  <c:v>4625809.3</c:v>
                </c:pt>
                <c:pt idx="7">
                  <c:v>4556003.43</c:v>
                </c:pt>
                <c:pt idx="8">
                  <c:v>4073776.26</c:v>
                </c:pt>
                <c:pt idx="9">
                  <c:v>5432184.4800000004</c:v>
                </c:pt>
                <c:pt idx="10">
                  <c:v>4231956.5</c:v>
                </c:pt>
                <c:pt idx="11">
                  <c:v>5631602.2400000002</c:v>
                </c:pt>
              </c:numCache>
            </c:numRef>
          </c:val>
        </c:ser>
        <c:ser>
          <c:idx val="1"/>
          <c:order val="1"/>
          <c:tx>
            <c:strRef>
              <c:f>Hoja2!$F$28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86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hade val="86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shade val="8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Hoja2!$A$29:$A$40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Hoja2!$F$29:$F$40</c:f>
              <c:numCache>
                <c:formatCode>"$"#,##0.00_);[Red]\("$"#,##0.00\)</c:formatCode>
                <c:ptCount val="12"/>
                <c:pt idx="0">
                  <c:v>26393145.859999999</c:v>
                </c:pt>
                <c:pt idx="1">
                  <c:v>12179510.49</c:v>
                </c:pt>
                <c:pt idx="2">
                  <c:v>10933329.24</c:v>
                </c:pt>
                <c:pt idx="3">
                  <c:v>4708017.7699999996</c:v>
                </c:pt>
                <c:pt idx="4">
                  <c:v>9702813.8000000007</c:v>
                </c:pt>
                <c:pt idx="5">
                  <c:v>10198149.939999999</c:v>
                </c:pt>
                <c:pt idx="6">
                  <c:v>7123429.9699999997</c:v>
                </c:pt>
                <c:pt idx="7">
                  <c:v>6571091.5599999996</c:v>
                </c:pt>
                <c:pt idx="8">
                  <c:v>4837112.2</c:v>
                </c:pt>
                <c:pt idx="9">
                  <c:v>7734088.1799999997</c:v>
                </c:pt>
                <c:pt idx="10">
                  <c:v>9202518.9600000009</c:v>
                </c:pt>
                <c:pt idx="11">
                  <c:v>8692528.9399999995</c:v>
                </c:pt>
              </c:numCache>
            </c:numRef>
          </c:val>
        </c:ser>
        <c:ser>
          <c:idx val="2"/>
          <c:order val="2"/>
          <c:tx>
            <c:strRef>
              <c:f>Hoja2!$G$28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86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tint val="86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tint val="8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Hoja2!$A$29:$A$40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Hoja2!$G$29:$G$40</c:f>
              <c:numCache>
                <c:formatCode>"$"#,##0.00_);[Red]\("$"#,##0.00\)</c:formatCode>
                <c:ptCount val="12"/>
                <c:pt idx="0">
                  <c:v>29177365.390000001</c:v>
                </c:pt>
                <c:pt idx="1">
                  <c:v>11063039.16</c:v>
                </c:pt>
                <c:pt idx="2">
                  <c:v>13237529.17</c:v>
                </c:pt>
                <c:pt idx="3">
                  <c:v>7509850.0999999996</c:v>
                </c:pt>
                <c:pt idx="4">
                  <c:v>7822358.79</c:v>
                </c:pt>
                <c:pt idx="5">
                  <c:v>6529937.9900000002</c:v>
                </c:pt>
                <c:pt idx="6">
                  <c:v>6792779.21</c:v>
                </c:pt>
                <c:pt idx="7">
                  <c:v>7045329</c:v>
                </c:pt>
                <c:pt idx="8">
                  <c:v>5865466.1200000001</c:v>
                </c:pt>
                <c:pt idx="9">
                  <c:v>6538298.7599999998</c:v>
                </c:pt>
                <c:pt idx="10">
                  <c:v>5721839.8799999999</c:v>
                </c:pt>
                <c:pt idx="11">
                  <c:v>4419334.43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8025728"/>
        <c:axId val="128107264"/>
      </c:barChart>
      <c:catAx>
        <c:axId val="12802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8107264"/>
        <c:crosses val="autoZero"/>
        <c:auto val="1"/>
        <c:lblAlgn val="ctr"/>
        <c:lblOffset val="100"/>
        <c:noMultiLvlLbl val="0"/>
      </c:catAx>
      <c:valAx>
        <c:axId val="12810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8025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INGRESOS PROPIOS 2018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2346061410998322"/>
          <c:y val="0.15012920475868491"/>
          <c:w val="0.37717515732220219"/>
          <c:h val="0.6768763064832783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Hoja2!$A$46:$A$49</c:f>
              <c:strCache>
                <c:ptCount val="4"/>
                <c:pt idx="0">
                  <c:v>Impuestos </c:v>
                </c:pt>
                <c:pt idx="1">
                  <c:v>Derechos </c:v>
                </c:pt>
                <c:pt idx="2">
                  <c:v>Productos </c:v>
                </c:pt>
                <c:pt idx="3">
                  <c:v>Aprovechamientos</c:v>
                </c:pt>
              </c:strCache>
            </c:strRef>
          </c:cat>
          <c:val>
            <c:numRef>
              <c:f>Hoja2!$G$46:$G$49</c:f>
              <c:numCache>
                <c:formatCode>_("$"* #,##0.00_);_("$"* \(#,##0.00\);_("$"* "-"??_);_(@_)</c:formatCode>
                <c:ptCount val="4"/>
                <c:pt idx="0">
                  <c:v>47687599</c:v>
                </c:pt>
                <c:pt idx="1">
                  <c:v>40187316</c:v>
                </c:pt>
                <c:pt idx="2">
                  <c:v>8047104</c:v>
                </c:pt>
                <c:pt idx="3">
                  <c:v>15806109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RECUPERACION DE REZAGO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cat>
            <c:strRef>
              <c:f>Hoja2!$I$75:$I$76</c:f>
              <c:strCache>
                <c:ptCount val="2"/>
                <c:pt idx="0">
                  <c:v>RECUPERADO</c:v>
                </c:pt>
                <c:pt idx="1">
                  <c:v>POR RECUPERAR</c:v>
                </c:pt>
              </c:strCache>
            </c:strRef>
          </c:cat>
          <c:val>
            <c:numRef>
              <c:f>Hoja2!$J$75:$J$76</c:f>
              <c:numCache>
                <c:formatCode>0%</c:formatCode>
                <c:ptCount val="2"/>
                <c:pt idx="0">
                  <c:v>0.47</c:v>
                </c:pt>
                <c:pt idx="1">
                  <c:v>0.53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606E-ECBF-4047-B40F-7F2FBCA0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1232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18</cp:revision>
  <cp:lastPrinted>2018-09-10T17:32:00Z</cp:lastPrinted>
  <dcterms:created xsi:type="dcterms:W3CDTF">2017-08-10T18:08:00Z</dcterms:created>
  <dcterms:modified xsi:type="dcterms:W3CDTF">2018-09-10T18:17:00Z</dcterms:modified>
</cp:coreProperties>
</file>