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23" w:rsidRDefault="00561A23">
      <w:pPr>
        <w:rPr>
          <w:b/>
          <w:color w:val="8064A2" w:themeColor="accent4"/>
          <w:sz w:val="24"/>
          <w:szCs w:val="24"/>
        </w:rPr>
      </w:pPr>
    </w:p>
    <w:p w:rsidR="002E0DDF" w:rsidRDefault="002E0DDF">
      <w:pPr>
        <w:rPr>
          <w:b/>
          <w:color w:val="8064A2" w:themeColor="accent4"/>
          <w:sz w:val="24"/>
          <w:szCs w:val="24"/>
        </w:rPr>
      </w:pPr>
    </w:p>
    <w:p w:rsidR="002E0DDF" w:rsidRDefault="002E0DDF">
      <w:pPr>
        <w:rPr>
          <w:b/>
          <w:color w:val="8064A2" w:themeColor="accent4"/>
          <w:sz w:val="24"/>
          <w:szCs w:val="24"/>
        </w:rPr>
      </w:pPr>
    </w:p>
    <w:p w:rsidR="003E097B" w:rsidRDefault="003E097B">
      <w:pPr>
        <w:rPr>
          <w:b/>
          <w:color w:val="8064A2" w:themeColor="accent4"/>
          <w:sz w:val="24"/>
          <w:szCs w:val="24"/>
        </w:rPr>
      </w:pPr>
      <w:r>
        <w:rPr>
          <w:noProof/>
          <w:lang w:eastAsia="es-MX"/>
        </w:rPr>
        <w:drawing>
          <wp:anchor distT="0" distB="0" distL="114300" distR="114300" simplePos="0" relativeHeight="251680256" behindDoc="0" locked="0" layoutInCell="1" allowOverlap="1" wp14:anchorId="260E991F" wp14:editId="1914F635">
            <wp:simplePos x="0" y="0"/>
            <wp:positionH relativeFrom="margin">
              <wp:posOffset>234315</wp:posOffset>
            </wp:positionH>
            <wp:positionV relativeFrom="margin">
              <wp:posOffset>1995170</wp:posOffset>
            </wp:positionV>
            <wp:extent cx="5600700" cy="1943100"/>
            <wp:effectExtent l="0" t="0" r="0" b="0"/>
            <wp:wrapSquare wrapText="bothSides"/>
            <wp:docPr id="46" name="Imagen 46" descr="D:\Desktop\COPLADEMUN 2019\PMDG 2018-2021\plan para publicar 6\entreportadas nuevads\haci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COPLADEMUN 2019\PMDG 2018-2021\plan para publicar 6\entreportadas nuevads\haciend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7008" b="36183"/>
                    <a:stretch/>
                  </pic:blipFill>
                  <pic:spPr bwMode="auto">
                    <a:xfrm>
                      <a:off x="0" y="0"/>
                      <a:ext cx="5600700" cy="1943100"/>
                    </a:xfrm>
                    <a:prstGeom prst="rect">
                      <a:avLst/>
                    </a:prstGeom>
                    <a:noFill/>
                    <a:ln>
                      <a:noFill/>
                    </a:ln>
                    <a:extLst>
                      <a:ext uri="{53640926-AAD7-44D8-BBD7-CCE9431645EC}">
                        <a14:shadowObscured xmlns:a14="http://schemas.microsoft.com/office/drawing/2010/main"/>
                      </a:ext>
                    </a:extLst>
                  </pic:spPr>
                </pic:pic>
              </a:graphicData>
            </a:graphic>
          </wp:anchor>
        </w:drawing>
      </w:r>
    </w:p>
    <w:p w:rsidR="002E0DDF" w:rsidRDefault="002E0DDF">
      <w:pPr>
        <w:rPr>
          <w:b/>
          <w:color w:val="8064A2" w:themeColor="accent4"/>
          <w:sz w:val="24"/>
          <w:szCs w:val="24"/>
        </w:rPr>
      </w:pPr>
    </w:p>
    <w:p w:rsidR="002E0DDF" w:rsidRDefault="002E0DDF">
      <w:pPr>
        <w:rPr>
          <w:b/>
          <w:color w:val="8064A2" w:themeColor="accent4"/>
          <w:sz w:val="24"/>
          <w:szCs w:val="24"/>
        </w:rPr>
      </w:pPr>
    </w:p>
    <w:p w:rsidR="002E0DDF" w:rsidRDefault="002E0DDF">
      <w:pPr>
        <w:rPr>
          <w:b/>
          <w:color w:val="8064A2" w:themeColor="accent4"/>
          <w:sz w:val="24"/>
          <w:szCs w:val="24"/>
        </w:rPr>
      </w:pPr>
    </w:p>
    <w:p w:rsidR="002E0DDF" w:rsidRDefault="002E0DDF">
      <w:pPr>
        <w:rPr>
          <w:b/>
          <w:color w:val="8064A2" w:themeColor="accent4"/>
          <w:sz w:val="24"/>
          <w:szCs w:val="24"/>
        </w:rPr>
      </w:pPr>
    </w:p>
    <w:p w:rsidR="001A2034" w:rsidRPr="006A7E06" w:rsidRDefault="001A2034" w:rsidP="001A2034">
      <w:pPr>
        <w:jc w:val="center"/>
        <w:rPr>
          <w:rFonts w:ascii="Tahoma" w:hAnsi="Tahoma" w:cs="Tahoma"/>
          <w:sz w:val="72"/>
          <w:szCs w:val="24"/>
        </w:rPr>
      </w:pPr>
      <w:r>
        <w:rPr>
          <w:rFonts w:ascii="Tahoma" w:hAnsi="Tahoma" w:cs="Tahoma"/>
          <w:sz w:val="72"/>
          <w:szCs w:val="24"/>
        </w:rPr>
        <w:t>SEGUNDO</w:t>
      </w:r>
      <w:r w:rsidRPr="006A7E06">
        <w:rPr>
          <w:rFonts w:ascii="Tahoma" w:hAnsi="Tahoma" w:cs="Tahoma"/>
          <w:sz w:val="72"/>
          <w:szCs w:val="24"/>
        </w:rPr>
        <w:t xml:space="preserve"> INFORME </w:t>
      </w:r>
    </w:p>
    <w:p w:rsidR="001A2034" w:rsidRPr="006A7E06" w:rsidRDefault="001A2034" w:rsidP="001A2034">
      <w:pPr>
        <w:jc w:val="center"/>
        <w:rPr>
          <w:rFonts w:ascii="Tahoma" w:hAnsi="Tahoma" w:cs="Tahoma"/>
          <w:sz w:val="40"/>
          <w:szCs w:val="24"/>
        </w:rPr>
      </w:pPr>
      <w:r>
        <w:rPr>
          <w:rFonts w:ascii="Tahoma" w:hAnsi="Tahoma" w:cs="Tahoma"/>
          <w:sz w:val="48"/>
          <w:szCs w:val="24"/>
        </w:rPr>
        <w:t xml:space="preserve">    </w:t>
      </w:r>
      <w:r w:rsidRPr="006A7E06">
        <w:rPr>
          <w:rFonts w:ascii="Tahoma" w:hAnsi="Tahoma" w:cs="Tahoma"/>
          <w:sz w:val="48"/>
          <w:szCs w:val="24"/>
        </w:rPr>
        <w:t>DE ACTIVIDADES</w:t>
      </w:r>
    </w:p>
    <w:p w:rsidR="002E0DDF" w:rsidRDefault="002E0DDF">
      <w:pPr>
        <w:rPr>
          <w:b/>
          <w:color w:val="8064A2" w:themeColor="accent4"/>
          <w:sz w:val="24"/>
          <w:szCs w:val="24"/>
        </w:rPr>
      </w:pPr>
    </w:p>
    <w:p w:rsidR="002E0DDF" w:rsidRDefault="002E0DDF">
      <w:pPr>
        <w:rPr>
          <w:b/>
          <w:color w:val="8064A2" w:themeColor="accent4"/>
          <w:sz w:val="24"/>
          <w:szCs w:val="24"/>
        </w:rPr>
      </w:pPr>
    </w:p>
    <w:p w:rsidR="002E0DDF" w:rsidRDefault="002E0DDF">
      <w:pPr>
        <w:rPr>
          <w:b/>
          <w:color w:val="8064A2" w:themeColor="accent4"/>
          <w:sz w:val="24"/>
          <w:szCs w:val="24"/>
        </w:rPr>
      </w:pPr>
    </w:p>
    <w:p w:rsidR="002E0DDF" w:rsidRDefault="002E0DDF">
      <w:pPr>
        <w:rPr>
          <w:b/>
          <w:color w:val="8064A2" w:themeColor="accent4"/>
          <w:sz w:val="24"/>
          <w:szCs w:val="24"/>
        </w:rPr>
      </w:pPr>
    </w:p>
    <w:p w:rsidR="002E0DDF" w:rsidRDefault="002E0DDF">
      <w:pPr>
        <w:rPr>
          <w:b/>
          <w:color w:val="8064A2" w:themeColor="accent4"/>
          <w:sz w:val="24"/>
          <w:szCs w:val="24"/>
        </w:rPr>
      </w:pPr>
    </w:p>
    <w:p w:rsidR="002E0DDF" w:rsidRDefault="001A2034">
      <w:pPr>
        <w:rPr>
          <w:b/>
          <w:color w:val="8064A2" w:themeColor="accent4"/>
          <w:sz w:val="24"/>
          <w:szCs w:val="24"/>
        </w:rPr>
      </w:pPr>
      <w:r>
        <w:rPr>
          <w:noProof/>
          <w:lang w:eastAsia="es-MX"/>
        </w:rPr>
        <w:drawing>
          <wp:anchor distT="0" distB="0" distL="114300" distR="114300" simplePos="0" relativeHeight="251682304" behindDoc="1" locked="0" layoutInCell="1" allowOverlap="1" wp14:anchorId="5B46CE2D" wp14:editId="46606A11">
            <wp:simplePos x="0" y="0"/>
            <wp:positionH relativeFrom="column">
              <wp:posOffset>1309370</wp:posOffset>
            </wp:positionH>
            <wp:positionV relativeFrom="paragraph">
              <wp:posOffset>321310</wp:posOffset>
            </wp:positionV>
            <wp:extent cx="4476750" cy="285750"/>
            <wp:effectExtent l="0" t="0" r="0" b="0"/>
            <wp:wrapTight wrapText="bothSides">
              <wp:wrapPolygon edited="0">
                <wp:start x="0" y="0"/>
                <wp:lineTo x="0" y="20160"/>
                <wp:lineTo x="21508" y="20160"/>
                <wp:lineTo x="21508"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73209" t="85198" r="10181" b="12917"/>
                    <a:stretch/>
                  </pic:blipFill>
                  <pic:spPr bwMode="auto">
                    <a:xfrm>
                      <a:off x="0" y="0"/>
                      <a:ext cx="44767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0DDF" w:rsidRDefault="002E0DDF">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3E097B" w:rsidRDefault="003E097B">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r>
        <w:rPr>
          <w:noProof/>
          <w:lang w:eastAsia="es-MX"/>
        </w:rPr>
        <w:drawing>
          <wp:anchor distT="0" distB="0" distL="114300" distR="114300" simplePos="0" relativeHeight="251674112" behindDoc="1" locked="0" layoutInCell="1" allowOverlap="1" wp14:anchorId="0FABB072" wp14:editId="489CBBBD">
            <wp:simplePos x="0" y="0"/>
            <wp:positionH relativeFrom="column">
              <wp:posOffset>453390</wp:posOffset>
            </wp:positionH>
            <wp:positionV relativeFrom="paragraph">
              <wp:posOffset>77470</wp:posOffset>
            </wp:positionV>
            <wp:extent cx="4876800" cy="2743200"/>
            <wp:effectExtent l="0" t="0" r="0" b="0"/>
            <wp:wrapTight wrapText="bothSides">
              <wp:wrapPolygon edited="0">
                <wp:start x="0" y="0"/>
                <wp:lineTo x="0" y="21450"/>
                <wp:lineTo x="21516" y="21450"/>
                <wp:lineTo x="21516" y="0"/>
                <wp:lineTo x="0" y="0"/>
              </wp:wrapPolygon>
            </wp:wrapTight>
            <wp:docPr id="5" name="Imagen 5" descr="Gobierno Municipal de Zapotlán El Grande,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ierno Municipal de Zapotlán El Grande, Jali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r>
        <w:rPr>
          <w:noProof/>
          <w:lang w:eastAsia="es-MX"/>
        </w:rPr>
        <w:drawing>
          <wp:anchor distT="0" distB="0" distL="114300" distR="114300" simplePos="0" relativeHeight="251676160" behindDoc="0" locked="0" layoutInCell="1" allowOverlap="1" wp14:anchorId="67EEC30C" wp14:editId="4DBD8C8F">
            <wp:simplePos x="0" y="0"/>
            <wp:positionH relativeFrom="column">
              <wp:posOffset>932180</wp:posOffset>
            </wp:positionH>
            <wp:positionV relativeFrom="paragraph">
              <wp:posOffset>-635</wp:posOffset>
            </wp:positionV>
            <wp:extent cx="3272155" cy="2018030"/>
            <wp:effectExtent l="0" t="0" r="4445" b="1270"/>
            <wp:wrapSquare wrapText="bothSides"/>
            <wp:docPr id="47" name="Imagen 47" descr="D:\Desktop\LOGOS\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Desktop\LOGOS\Tesoreri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2155" cy="201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A23" w:rsidRDefault="00561A23">
      <w:pPr>
        <w:rPr>
          <w:b/>
          <w:color w:val="8064A2" w:themeColor="accent4"/>
          <w:sz w:val="24"/>
          <w:szCs w:val="24"/>
        </w:rPr>
      </w:pPr>
      <w:r w:rsidRPr="00FF568D">
        <w:rPr>
          <w:b/>
          <w:noProof/>
          <w:color w:val="8064A2" w:themeColor="accent4"/>
          <w:sz w:val="24"/>
          <w:szCs w:val="24"/>
          <w:lang w:eastAsia="es-MX"/>
        </w:rPr>
        <mc:AlternateContent>
          <mc:Choice Requires="wps">
            <w:drawing>
              <wp:anchor distT="0" distB="0" distL="114300" distR="114300" simplePos="0" relativeHeight="251678208" behindDoc="0" locked="0" layoutInCell="1" allowOverlap="1" wp14:anchorId="1F381746" wp14:editId="45E1A262">
                <wp:simplePos x="0" y="0"/>
                <wp:positionH relativeFrom="column">
                  <wp:posOffset>2634615</wp:posOffset>
                </wp:positionH>
                <wp:positionV relativeFrom="paragraph">
                  <wp:posOffset>281940</wp:posOffset>
                </wp:positionV>
                <wp:extent cx="1914525" cy="42862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8625"/>
                        </a:xfrm>
                        <a:prstGeom prst="rect">
                          <a:avLst/>
                        </a:prstGeom>
                        <a:solidFill>
                          <a:srgbClr val="FFFFFF"/>
                        </a:solidFill>
                        <a:ln w="9525">
                          <a:noFill/>
                          <a:miter lim="800000"/>
                          <a:headEnd/>
                          <a:tailEnd/>
                        </a:ln>
                      </wps:spPr>
                      <wps:txbx>
                        <w:txbxContent>
                          <w:p w:rsidR="00561A23" w:rsidRPr="00FF568D" w:rsidRDefault="00561A23" w:rsidP="00561A23">
                            <w:pPr>
                              <w:rPr>
                                <w:b/>
                                <w:color w:val="B2A1C7" w:themeColor="accent4" w:themeTint="99"/>
                                <w:sz w:val="44"/>
                                <w:szCs w:val="44"/>
                              </w:rPr>
                            </w:pPr>
                            <w:r>
                              <w:rPr>
                                <w:b/>
                                <w:color w:val="B2A1C7" w:themeColor="accent4" w:themeTint="99"/>
                                <w:sz w:val="44"/>
                                <w:szCs w:val="44"/>
                              </w:rPr>
                              <w:t>Ingresos</w:t>
                            </w:r>
                            <w:r w:rsidRPr="00FF568D">
                              <w:rPr>
                                <w:b/>
                                <w:color w:val="B2A1C7" w:themeColor="accent4" w:themeTint="99"/>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381746" id="_x0000_t202" coordsize="21600,21600" o:spt="202" path="m,l,21600r21600,l21600,xe">
                <v:stroke joinstyle="miter"/>
                <v:path gradientshapeok="t" o:connecttype="rect"/>
              </v:shapetype>
              <v:shape id="Cuadro de texto 2" o:spid="_x0000_s1026" type="#_x0000_t202" style="position:absolute;margin-left:207.45pt;margin-top:22.2pt;width:150.75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" stroked="f">
                <v:textbox>
                  <w:txbxContent>
                    <w:p w:rsidR="00561A23" w:rsidRPr="00FF568D" w:rsidRDefault="00561A23" w:rsidP="00561A23">
                      <w:pPr>
                        <w:rPr>
                          <w:b/>
                          <w:color w:val="B2A1C7" w:themeColor="accent4" w:themeTint="99"/>
                          <w:sz w:val="44"/>
                          <w:szCs w:val="44"/>
                        </w:rPr>
                      </w:pPr>
                      <w:r>
                        <w:rPr>
                          <w:b/>
                          <w:color w:val="B2A1C7" w:themeColor="accent4" w:themeTint="99"/>
                          <w:sz w:val="44"/>
                          <w:szCs w:val="44"/>
                        </w:rPr>
                        <w:t>Ingresos</w:t>
                      </w:r>
                      <w:r w:rsidRPr="00FF568D">
                        <w:rPr>
                          <w:b/>
                          <w:color w:val="B2A1C7" w:themeColor="accent4" w:themeTint="99"/>
                          <w:sz w:val="44"/>
                          <w:szCs w:val="44"/>
                        </w:rPr>
                        <w:t xml:space="preserve"> </w:t>
                      </w:r>
                    </w:p>
                  </w:txbxContent>
                </v:textbox>
              </v:shape>
            </w:pict>
          </mc:Fallback>
        </mc:AlternateContent>
      </w: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p>
    <w:p w:rsidR="00561A23" w:rsidRDefault="00561A23">
      <w:pPr>
        <w:rPr>
          <w:b/>
          <w:color w:val="8064A2" w:themeColor="accent4"/>
          <w:sz w:val="24"/>
          <w:szCs w:val="24"/>
        </w:rPr>
      </w:pPr>
      <w:bookmarkStart w:id="0" w:name="_GoBack"/>
      <w:bookmarkEnd w:id="0"/>
    </w:p>
    <w:p w:rsidR="00236E50" w:rsidRDefault="00254EB0">
      <w:pPr>
        <w:rPr>
          <w:b/>
          <w:color w:val="8064A2" w:themeColor="accent4"/>
          <w:sz w:val="24"/>
          <w:szCs w:val="24"/>
        </w:rPr>
      </w:pPr>
      <w:r w:rsidRPr="00254EB0">
        <w:rPr>
          <w:b/>
          <w:color w:val="8064A2" w:themeColor="accent4"/>
          <w:sz w:val="24"/>
          <w:szCs w:val="24"/>
        </w:rPr>
        <w:lastRenderedPageBreak/>
        <w:t xml:space="preserve">INGRESOS </w:t>
      </w:r>
    </w:p>
    <w:p w:rsidR="00254EB0" w:rsidRPr="00246271" w:rsidRDefault="00254EB0" w:rsidP="008D010A">
      <w:pPr>
        <w:jc w:val="both"/>
        <w:rPr>
          <w:rFonts w:cstheme="minorHAnsi"/>
          <w:b/>
          <w:color w:val="8064A2" w:themeColor="accent4"/>
          <w:sz w:val="24"/>
          <w:szCs w:val="24"/>
        </w:rPr>
      </w:pPr>
      <w:r w:rsidRPr="00246271">
        <w:rPr>
          <w:rFonts w:cstheme="minorHAnsi"/>
          <w:b/>
          <w:color w:val="8064A2" w:themeColor="accent4"/>
          <w:sz w:val="24"/>
          <w:szCs w:val="24"/>
        </w:rPr>
        <w:t>OBJETIVO</w:t>
      </w:r>
      <w:r w:rsidR="008D010A" w:rsidRPr="00246271">
        <w:rPr>
          <w:rFonts w:cstheme="minorHAnsi"/>
          <w:b/>
          <w:color w:val="8064A2" w:themeColor="accent4"/>
          <w:sz w:val="24"/>
          <w:szCs w:val="24"/>
        </w:rPr>
        <w:t xml:space="preserve"> MUNICIPAL 5 “</w:t>
      </w:r>
      <w:r w:rsidR="008D010A" w:rsidRPr="00246271">
        <w:rPr>
          <w:rFonts w:cstheme="minorHAnsi"/>
          <w:b/>
          <w:color w:val="8064A2" w:themeColor="accent4"/>
        </w:rPr>
        <w:t>ASEGURAR LA SUSTENTABILIDAD FINANCIERA Y OPTIMIZAR EL MANEJO DE LOS RECURSOS PÚBLICOS”.</w:t>
      </w:r>
    </w:p>
    <w:p w:rsidR="008D010A" w:rsidRPr="002B766E" w:rsidRDefault="008D010A" w:rsidP="003F4F54">
      <w:pPr>
        <w:spacing w:after="0"/>
        <w:jc w:val="both"/>
        <w:rPr>
          <w:rFonts w:cstheme="minorHAnsi"/>
          <w:sz w:val="24"/>
          <w:szCs w:val="24"/>
        </w:rPr>
      </w:pPr>
      <w:r w:rsidRPr="002B766E">
        <w:rPr>
          <w:rFonts w:cstheme="minorHAnsi"/>
          <w:sz w:val="24"/>
          <w:szCs w:val="24"/>
        </w:rPr>
        <w:t xml:space="preserve">En la continuidad que mantiene la administración pública 2018-2021 de fortalecer las finanzas públicas </w:t>
      </w:r>
      <w:r w:rsidR="009143B7">
        <w:rPr>
          <w:rFonts w:cstheme="minorHAnsi"/>
          <w:sz w:val="24"/>
          <w:szCs w:val="24"/>
        </w:rPr>
        <w:t>de la Hacienda Pública L</w:t>
      </w:r>
      <w:r w:rsidR="009C7D52">
        <w:rPr>
          <w:rFonts w:cstheme="minorHAnsi"/>
          <w:sz w:val="24"/>
          <w:szCs w:val="24"/>
        </w:rPr>
        <w:t>ocal</w:t>
      </w:r>
      <w:r w:rsidR="00812CA9">
        <w:rPr>
          <w:rFonts w:cstheme="minorHAnsi"/>
          <w:sz w:val="24"/>
          <w:szCs w:val="24"/>
        </w:rPr>
        <w:t>,</w:t>
      </w:r>
      <w:r w:rsidRPr="002B766E">
        <w:rPr>
          <w:rFonts w:cstheme="minorHAnsi"/>
          <w:sz w:val="24"/>
          <w:szCs w:val="24"/>
        </w:rPr>
        <w:t xml:space="preserve"> </w:t>
      </w:r>
      <w:r w:rsidR="009C7D52">
        <w:rPr>
          <w:rFonts w:cstheme="minorHAnsi"/>
          <w:sz w:val="24"/>
          <w:szCs w:val="24"/>
        </w:rPr>
        <w:t xml:space="preserve">manteniendo a la </w:t>
      </w:r>
      <w:r w:rsidRPr="002B766E">
        <w:rPr>
          <w:rFonts w:cstheme="minorHAnsi"/>
          <w:sz w:val="24"/>
          <w:szCs w:val="24"/>
        </w:rPr>
        <w:t>alza los índices de recaudación de ingresos propios</w:t>
      </w:r>
      <w:r w:rsidR="009143B7">
        <w:rPr>
          <w:rFonts w:cstheme="minorHAnsi"/>
          <w:sz w:val="24"/>
          <w:szCs w:val="24"/>
        </w:rPr>
        <w:t xml:space="preserve"> como principal estrategia</w:t>
      </w:r>
      <w:r w:rsidR="009000C9">
        <w:rPr>
          <w:rFonts w:cstheme="minorHAnsi"/>
          <w:sz w:val="24"/>
          <w:szCs w:val="24"/>
        </w:rPr>
        <w:t>,</w:t>
      </w:r>
      <w:r w:rsidR="009143B7">
        <w:rPr>
          <w:rFonts w:cstheme="minorHAnsi"/>
          <w:sz w:val="24"/>
          <w:szCs w:val="24"/>
        </w:rPr>
        <w:t xml:space="preserve"> para el efecto</w:t>
      </w:r>
      <w:r w:rsidR="00A926CB">
        <w:rPr>
          <w:rFonts w:cstheme="minorHAnsi"/>
          <w:sz w:val="24"/>
          <w:szCs w:val="24"/>
        </w:rPr>
        <w:t>,</w:t>
      </w:r>
      <w:r w:rsidRPr="002B766E">
        <w:rPr>
          <w:rFonts w:cstheme="minorHAnsi"/>
          <w:sz w:val="24"/>
          <w:szCs w:val="24"/>
        </w:rPr>
        <w:t xml:space="preserve"> </w:t>
      </w:r>
      <w:r w:rsidR="009143B7">
        <w:rPr>
          <w:rFonts w:cstheme="minorHAnsi"/>
          <w:sz w:val="24"/>
          <w:szCs w:val="24"/>
        </w:rPr>
        <w:t>dado que el Índice</w:t>
      </w:r>
      <w:r w:rsidR="00812CA9">
        <w:rPr>
          <w:rFonts w:cstheme="minorHAnsi"/>
          <w:sz w:val="24"/>
          <w:szCs w:val="24"/>
        </w:rPr>
        <w:t xml:space="preserve"> de Ciudades Prósperas</w:t>
      </w:r>
      <w:r w:rsidR="009C7D52">
        <w:rPr>
          <w:rFonts w:cstheme="minorHAnsi"/>
          <w:sz w:val="24"/>
          <w:szCs w:val="24"/>
        </w:rPr>
        <w:t xml:space="preserve"> ONU HABITAT</w:t>
      </w:r>
      <w:r w:rsidR="009143B7">
        <w:rPr>
          <w:rFonts w:cstheme="minorHAnsi"/>
          <w:sz w:val="24"/>
          <w:szCs w:val="24"/>
        </w:rPr>
        <w:t>, en su edición 2018</w:t>
      </w:r>
      <w:r w:rsidR="0001175F">
        <w:rPr>
          <w:rFonts w:cstheme="minorHAnsi"/>
          <w:sz w:val="24"/>
          <w:szCs w:val="24"/>
        </w:rPr>
        <w:t>,</w:t>
      </w:r>
      <w:r w:rsidR="009143B7">
        <w:rPr>
          <w:rFonts w:cstheme="minorHAnsi"/>
          <w:sz w:val="24"/>
          <w:szCs w:val="24"/>
        </w:rPr>
        <w:t xml:space="preserve"> coloca</w:t>
      </w:r>
      <w:r w:rsidR="009C7D52">
        <w:rPr>
          <w:rFonts w:cstheme="minorHAnsi"/>
          <w:sz w:val="24"/>
          <w:szCs w:val="24"/>
        </w:rPr>
        <w:t xml:space="preserve"> al</w:t>
      </w:r>
      <w:r w:rsidRPr="002B766E">
        <w:rPr>
          <w:rFonts w:cstheme="minorHAnsi"/>
          <w:sz w:val="24"/>
          <w:szCs w:val="24"/>
        </w:rPr>
        <w:t xml:space="preserve"> </w:t>
      </w:r>
      <w:r w:rsidR="009C7D52">
        <w:rPr>
          <w:rFonts w:cstheme="minorHAnsi"/>
          <w:sz w:val="24"/>
          <w:szCs w:val="24"/>
        </w:rPr>
        <w:t>municipio en el</w:t>
      </w:r>
      <w:r w:rsidR="009143B7">
        <w:rPr>
          <w:rFonts w:cstheme="minorHAnsi"/>
          <w:sz w:val="24"/>
          <w:szCs w:val="24"/>
        </w:rPr>
        <w:t xml:space="preserve"> 12.92. Con</w:t>
      </w:r>
      <w:r w:rsidR="009C7D52">
        <w:rPr>
          <w:rFonts w:cstheme="minorHAnsi"/>
          <w:sz w:val="24"/>
          <w:szCs w:val="24"/>
        </w:rPr>
        <w:t xml:space="preserve"> las acciones del Plan Municipal de De</w:t>
      </w:r>
      <w:r w:rsidR="00812CA9">
        <w:rPr>
          <w:rFonts w:cstheme="minorHAnsi"/>
          <w:sz w:val="24"/>
          <w:szCs w:val="24"/>
        </w:rPr>
        <w:t xml:space="preserve">sarrollo y Gobernanza 2018-2021, </w:t>
      </w:r>
      <w:r w:rsidR="009143B7">
        <w:rPr>
          <w:rFonts w:cstheme="minorHAnsi"/>
          <w:sz w:val="24"/>
          <w:szCs w:val="24"/>
        </w:rPr>
        <w:t>en este segundo año de gobierno se generan los</w:t>
      </w:r>
      <w:r w:rsidR="009C7D52">
        <w:rPr>
          <w:rFonts w:cstheme="minorHAnsi"/>
          <w:sz w:val="24"/>
          <w:szCs w:val="24"/>
        </w:rPr>
        <w:t xml:space="preserve"> siguientes resultados:</w:t>
      </w:r>
    </w:p>
    <w:p w:rsidR="00254EB0" w:rsidRPr="008D010A" w:rsidRDefault="00254EB0" w:rsidP="008D010A">
      <w:pPr>
        <w:spacing w:after="0" w:line="240" w:lineRule="auto"/>
        <w:jc w:val="both"/>
        <w:rPr>
          <w:rFonts w:cstheme="minorHAnsi"/>
          <w:sz w:val="24"/>
          <w:szCs w:val="24"/>
        </w:rPr>
      </w:pPr>
      <w:r w:rsidRPr="002A76CD">
        <w:rPr>
          <w:rFonts w:cstheme="minorHAnsi"/>
          <w:b/>
        </w:rPr>
        <w:t xml:space="preserve"> </w:t>
      </w:r>
    </w:p>
    <w:p w:rsidR="00254EB0" w:rsidRPr="00812CA9" w:rsidRDefault="00246271" w:rsidP="00254EB0">
      <w:pPr>
        <w:jc w:val="both"/>
        <w:rPr>
          <w:rFonts w:cstheme="minorHAnsi"/>
          <w:b/>
          <w:color w:val="8064A2" w:themeColor="accent4"/>
          <w:sz w:val="24"/>
          <w:szCs w:val="24"/>
        </w:rPr>
      </w:pPr>
      <w:r>
        <w:rPr>
          <w:rFonts w:cstheme="minorHAnsi"/>
          <w:b/>
          <w:color w:val="8064A2" w:themeColor="accent4"/>
          <w:sz w:val="24"/>
          <w:szCs w:val="24"/>
        </w:rPr>
        <w:t>Impulso de</w:t>
      </w:r>
      <w:r w:rsidR="00254EB0" w:rsidRPr="00812CA9">
        <w:rPr>
          <w:rFonts w:cstheme="minorHAnsi"/>
          <w:b/>
          <w:color w:val="8064A2" w:themeColor="accent4"/>
          <w:sz w:val="24"/>
          <w:szCs w:val="24"/>
        </w:rPr>
        <w:t xml:space="preserve"> la actualización y modernización de la legislación tributaria municipal, </w:t>
      </w:r>
      <w:r w:rsidR="00A926CB">
        <w:rPr>
          <w:rFonts w:cstheme="minorHAnsi"/>
          <w:b/>
          <w:color w:val="8064A2" w:themeColor="accent4"/>
          <w:sz w:val="24"/>
          <w:szCs w:val="24"/>
        </w:rPr>
        <w:t>que garanticen</w:t>
      </w:r>
      <w:r w:rsidR="00254EB0" w:rsidRPr="00812CA9">
        <w:rPr>
          <w:rFonts w:cstheme="minorHAnsi"/>
          <w:b/>
          <w:color w:val="8064A2" w:themeColor="accent4"/>
          <w:sz w:val="24"/>
          <w:szCs w:val="24"/>
        </w:rPr>
        <w:t xml:space="preserve"> los principios de seguridad jurídica, transparencia, eficiencia y equidad</w:t>
      </w:r>
      <w:r w:rsidR="00A926CB">
        <w:rPr>
          <w:rFonts w:cstheme="minorHAnsi"/>
          <w:b/>
          <w:color w:val="8064A2" w:themeColor="accent4"/>
          <w:sz w:val="24"/>
          <w:szCs w:val="24"/>
        </w:rPr>
        <w:t xml:space="preserve"> en el manejo de recursos públicos</w:t>
      </w:r>
      <w:r w:rsidR="00254EB0" w:rsidRPr="00812CA9">
        <w:rPr>
          <w:rFonts w:cstheme="minorHAnsi"/>
          <w:b/>
          <w:color w:val="8064A2" w:themeColor="accent4"/>
          <w:sz w:val="24"/>
          <w:szCs w:val="24"/>
        </w:rPr>
        <w:t>.</w:t>
      </w:r>
    </w:p>
    <w:p w:rsidR="00B51836" w:rsidRDefault="007F0228" w:rsidP="00812CA9">
      <w:pPr>
        <w:jc w:val="both"/>
        <w:rPr>
          <w:sz w:val="24"/>
          <w:szCs w:val="24"/>
        </w:rPr>
      </w:pPr>
      <w:r>
        <w:rPr>
          <w:sz w:val="24"/>
          <w:szCs w:val="24"/>
        </w:rPr>
        <w:t>E</w:t>
      </w:r>
      <w:r w:rsidR="004C0EE1">
        <w:rPr>
          <w:sz w:val="24"/>
          <w:szCs w:val="24"/>
        </w:rPr>
        <w:t xml:space="preserve">n </w:t>
      </w:r>
      <w:r w:rsidR="003B30E7">
        <w:rPr>
          <w:sz w:val="24"/>
          <w:szCs w:val="24"/>
        </w:rPr>
        <w:t xml:space="preserve">el contexto recaudatorio la actualización del marco reglamentario municipal </w:t>
      </w:r>
      <w:r w:rsidR="004C0EE1">
        <w:rPr>
          <w:sz w:val="24"/>
          <w:szCs w:val="24"/>
        </w:rPr>
        <w:t>de</w:t>
      </w:r>
      <w:r w:rsidR="003B30E7">
        <w:rPr>
          <w:sz w:val="24"/>
          <w:szCs w:val="24"/>
        </w:rPr>
        <w:t xml:space="preserve"> diversas áreas </w:t>
      </w:r>
      <w:r w:rsidR="009572A5">
        <w:rPr>
          <w:sz w:val="24"/>
          <w:szCs w:val="24"/>
        </w:rPr>
        <w:t xml:space="preserve">relacionadas con </w:t>
      </w:r>
      <w:r w:rsidR="00C9589C">
        <w:rPr>
          <w:sz w:val="24"/>
          <w:szCs w:val="24"/>
        </w:rPr>
        <w:t>el ingreso</w:t>
      </w:r>
      <w:r w:rsidR="009572A5">
        <w:rPr>
          <w:sz w:val="24"/>
          <w:szCs w:val="24"/>
        </w:rPr>
        <w:t xml:space="preserve"> </w:t>
      </w:r>
      <w:r w:rsidR="003B30E7">
        <w:rPr>
          <w:sz w:val="24"/>
          <w:szCs w:val="24"/>
        </w:rPr>
        <w:t>entre las que destacan</w:t>
      </w:r>
      <w:r w:rsidR="004C0EE1">
        <w:rPr>
          <w:sz w:val="24"/>
          <w:szCs w:val="24"/>
        </w:rPr>
        <w:t xml:space="preserve"> </w:t>
      </w:r>
      <w:r w:rsidR="009000C9">
        <w:rPr>
          <w:sz w:val="24"/>
          <w:szCs w:val="24"/>
        </w:rPr>
        <w:t xml:space="preserve">los cobros por arrendamiento de </w:t>
      </w:r>
      <w:r w:rsidR="00E4499D">
        <w:rPr>
          <w:sz w:val="24"/>
          <w:szCs w:val="24"/>
        </w:rPr>
        <w:t>inmuebles patrimoniales</w:t>
      </w:r>
      <w:r w:rsidR="00C9589C">
        <w:rPr>
          <w:sz w:val="24"/>
          <w:szCs w:val="24"/>
        </w:rPr>
        <w:t xml:space="preserve"> municipales</w:t>
      </w:r>
      <w:r w:rsidR="00E4499D">
        <w:rPr>
          <w:sz w:val="24"/>
          <w:szCs w:val="24"/>
        </w:rPr>
        <w:t xml:space="preserve"> (</w:t>
      </w:r>
      <w:r w:rsidR="004C0EE1">
        <w:rPr>
          <w:sz w:val="24"/>
          <w:szCs w:val="24"/>
        </w:rPr>
        <w:t xml:space="preserve">Mercados y </w:t>
      </w:r>
      <w:r w:rsidR="0001175F">
        <w:rPr>
          <w:sz w:val="24"/>
          <w:szCs w:val="24"/>
        </w:rPr>
        <w:t>Tianguis</w:t>
      </w:r>
      <w:r w:rsidR="00E4499D">
        <w:rPr>
          <w:sz w:val="24"/>
          <w:szCs w:val="24"/>
        </w:rPr>
        <w:t>)</w:t>
      </w:r>
      <w:r w:rsidR="009572A5">
        <w:rPr>
          <w:sz w:val="24"/>
          <w:szCs w:val="24"/>
        </w:rPr>
        <w:t xml:space="preserve">, </w:t>
      </w:r>
      <w:r w:rsidR="00C13772">
        <w:rPr>
          <w:sz w:val="24"/>
          <w:szCs w:val="24"/>
        </w:rPr>
        <w:t xml:space="preserve">la Hacienda Municipal en vinculación con </w:t>
      </w:r>
      <w:r w:rsidR="009572A5">
        <w:rPr>
          <w:sz w:val="24"/>
          <w:szCs w:val="24"/>
        </w:rPr>
        <w:t>Sindicatura</w:t>
      </w:r>
      <w:r w:rsidR="00C13772">
        <w:rPr>
          <w:sz w:val="24"/>
          <w:szCs w:val="24"/>
        </w:rPr>
        <w:t>, mantuvo</w:t>
      </w:r>
      <w:r w:rsidR="003B30E7">
        <w:rPr>
          <w:sz w:val="24"/>
          <w:szCs w:val="24"/>
        </w:rPr>
        <w:t xml:space="preserve"> una continuidad</w:t>
      </w:r>
      <w:r>
        <w:rPr>
          <w:sz w:val="24"/>
          <w:szCs w:val="24"/>
        </w:rPr>
        <w:t xml:space="preserve"> en </w:t>
      </w:r>
      <w:r w:rsidR="003B30E7">
        <w:rPr>
          <w:sz w:val="24"/>
          <w:szCs w:val="24"/>
        </w:rPr>
        <w:t>trabajo</w:t>
      </w:r>
      <w:r>
        <w:rPr>
          <w:sz w:val="24"/>
          <w:szCs w:val="24"/>
        </w:rPr>
        <w:t xml:space="preserve"> </w:t>
      </w:r>
      <w:r w:rsidR="00F81296">
        <w:rPr>
          <w:sz w:val="24"/>
          <w:szCs w:val="24"/>
        </w:rPr>
        <w:t xml:space="preserve">reglamentario </w:t>
      </w:r>
      <w:r w:rsidR="009572A5">
        <w:rPr>
          <w:sz w:val="24"/>
          <w:szCs w:val="24"/>
        </w:rPr>
        <w:t xml:space="preserve">para </w:t>
      </w:r>
      <w:r w:rsidR="00C9589C">
        <w:rPr>
          <w:sz w:val="24"/>
          <w:szCs w:val="24"/>
        </w:rPr>
        <w:t xml:space="preserve">fortalecer </w:t>
      </w:r>
      <w:r w:rsidR="004C0EE1">
        <w:rPr>
          <w:sz w:val="24"/>
          <w:szCs w:val="24"/>
        </w:rPr>
        <w:t xml:space="preserve">el ingreso por concepto </w:t>
      </w:r>
      <w:r w:rsidR="00C9589C">
        <w:rPr>
          <w:sz w:val="24"/>
          <w:szCs w:val="24"/>
        </w:rPr>
        <w:t>arrendamiento</w:t>
      </w:r>
      <w:r w:rsidR="00F81296">
        <w:rPr>
          <w:sz w:val="24"/>
          <w:szCs w:val="24"/>
        </w:rPr>
        <w:t>s</w:t>
      </w:r>
      <w:r w:rsidR="00393F61">
        <w:rPr>
          <w:sz w:val="24"/>
          <w:szCs w:val="24"/>
        </w:rPr>
        <w:t xml:space="preserve"> </w:t>
      </w:r>
      <w:r w:rsidR="00C9589C">
        <w:rPr>
          <w:sz w:val="24"/>
          <w:szCs w:val="24"/>
        </w:rPr>
        <w:t>y</w:t>
      </w:r>
      <w:r w:rsidR="00F81296">
        <w:rPr>
          <w:sz w:val="24"/>
          <w:szCs w:val="24"/>
        </w:rPr>
        <w:t xml:space="preserve"> recuperación de rezagos, se mantenga en vigencia los contratos </w:t>
      </w:r>
      <w:r w:rsidR="00B51836">
        <w:rPr>
          <w:sz w:val="24"/>
          <w:szCs w:val="24"/>
        </w:rPr>
        <w:t xml:space="preserve"> </w:t>
      </w:r>
      <w:r>
        <w:rPr>
          <w:sz w:val="24"/>
          <w:szCs w:val="24"/>
        </w:rPr>
        <w:t xml:space="preserve">correspondiente </w:t>
      </w:r>
      <w:r w:rsidR="00B069BB">
        <w:rPr>
          <w:sz w:val="24"/>
          <w:szCs w:val="24"/>
        </w:rPr>
        <w:t>de los espacios</w:t>
      </w:r>
      <w:r w:rsidR="0001175F">
        <w:rPr>
          <w:sz w:val="24"/>
          <w:szCs w:val="24"/>
        </w:rPr>
        <w:t xml:space="preserve"> espacio </w:t>
      </w:r>
      <w:r w:rsidR="00B51836">
        <w:rPr>
          <w:sz w:val="24"/>
          <w:szCs w:val="24"/>
        </w:rPr>
        <w:t>asignado</w:t>
      </w:r>
      <w:r w:rsidR="00B069BB">
        <w:rPr>
          <w:sz w:val="24"/>
          <w:szCs w:val="24"/>
        </w:rPr>
        <w:t>s</w:t>
      </w:r>
      <w:r w:rsidR="00B51836">
        <w:rPr>
          <w:sz w:val="24"/>
          <w:szCs w:val="24"/>
        </w:rPr>
        <w:t xml:space="preserve">, </w:t>
      </w:r>
      <w:r w:rsidR="00B069BB">
        <w:rPr>
          <w:sz w:val="24"/>
          <w:szCs w:val="24"/>
        </w:rPr>
        <w:t xml:space="preserve">protegiendo </w:t>
      </w:r>
      <w:r>
        <w:rPr>
          <w:sz w:val="24"/>
          <w:szCs w:val="24"/>
        </w:rPr>
        <w:t xml:space="preserve">la situación jurídica </w:t>
      </w:r>
      <w:r w:rsidR="009572A5">
        <w:rPr>
          <w:sz w:val="24"/>
          <w:szCs w:val="24"/>
        </w:rPr>
        <w:t>inmuebles</w:t>
      </w:r>
      <w:r w:rsidR="00B069BB">
        <w:rPr>
          <w:sz w:val="24"/>
          <w:szCs w:val="24"/>
        </w:rPr>
        <w:t xml:space="preserve"> municipales.</w:t>
      </w:r>
      <w:r>
        <w:rPr>
          <w:sz w:val="24"/>
          <w:szCs w:val="24"/>
        </w:rPr>
        <w:t xml:space="preserve"> </w:t>
      </w:r>
    </w:p>
    <w:p w:rsidR="007A2540" w:rsidRPr="007F0228" w:rsidRDefault="007F0228" w:rsidP="00254EB0">
      <w:pPr>
        <w:jc w:val="both"/>
        <w:rPr>
          <w:sz w:val="24"/>
          <w:szCs w:val="24"/>
        </w:rPr>
      </w:pPr>
      <w:r>
        <w:rPr>
          <w:sz w:val="24"/>
          <w:szCs w:val="24"/>
        </w:rPr>
        <w:t>D</w:t>
      </w:r>
      <w:r w:rsidR="00C23919">
        <w:rPr>
          <w:sz w:val="24"/>
          <w:szCs w:val="24"/>
        </w:rPr>
        <w:t>e acuerdo al planteamiento de esta primera línea de acción del área</w:t>
      </w:r>
      <w:r w:rsidR="005B0E56">
        <w:rPr>
          <w:sz w:val="24"/>
          <w:szCs w:val="24"/>
        </w:rPr>
        <w:t>,</w:t>
      </w:r>
      <w:r>
        <w:rPr>
          <w:sz w:val="24"/>
          <w:szCs w:val="24"/>
        </w:rPr>
        <w:t xml:space="preserve"> a la conclusión </w:t>
      </w:r>
      <w:r w:rsidR="009572A5">
        <w:rPr>
          <w:sz w:val="24"/>
          <w:szCs w:val="24"/>
        </w:rPr>
        <w:t>de este segundo informe de gobierno</w:t>
      </w:r>
      <w:r w:rsidR="0001175F">
        <w:rPr>
          <w:sz w:val="24"/>
          <w:szCs w:val="24"/>
        </w:rPr>
        <w:t>.</w:t>
      </w:r>
      <w:r w:rsidR="008556C8">
        <w:rPr>
          <w:sz w:val="24"/>
          <w:szCs w:val="24"/>
        </w:rPr>
        <w:t xml:space="preserve"> </w:t>
      </w:r>
      <w:r w:rsidR="00C23919">
        <w:rPr>
          <w:sz w:val="24"/>
          <w:szCs w:val="24"/>
        </w:rPr>
        <w:t>Zapotlán el Grande</w:t>
      </w:r>
      <w:r w:rsidR="0001175F">
        <w:rPr>
          <w:sz w:val="24"/>
          <w:szCs w:val="24"/>
        </w:rPr>
        <w:t>,</w:t>
      </w:r>
      <w:r w:rsidR="00C23919">
        <w:rPr>
          <w:sz w:val="24"/>
          <w:szCs w:val="24"/>
        </w:rPr>
        <w:t xml:space="preserve"> </w:t>
      </w:r>
      <w:r w:rsidR="009572A5">
        <w:rPr>
          <w:sz w:val="24"/>
          <w:szCs w:val="24"/>
        </w:rPr>
        <w:t xml:space="preserve">cuenta </w:t>
      </w:r>
      <w:r w:rsidR="00C23919">
        <w:rPr>
          <w:sz w:val="24"/>
          <w:szCs w:val="24"/>
        </w:rPr>
        <w:t xml:space="preserve"> con nueva reglamentación </w:t>
      </w:r>
      <w:r w:rsidR="00AA493A">
        <w:rPr>
          <w:sz w:val="24"/>
          <w:szCs w:val="24"/>
        </w:rPr>
        <w:t>con un marco de certeza robusteciendo la trasparencia, vinculado con el compromiso efectuado en</w:t>
      </w:r>
      <w:r w:rsidR="00C23919">
        <w:rPr>
          <w:sz w:val="24"/>
          <w:szCs w:val="24"/>
        </w:rPr>
        <w:t xml:space="preserve"> el apartado de la Sindicatura de mant</w:t>
      </w:r>
      <w:r w:rsidR="003F4F54">
        <w:rPr>
          <w:sz w:val="24"/>
          <w:szCs w:val="24"/>
        </w:rPr>
        <w:t xml:space="preserve">ener a la vanguardia la totalidad de la reglamentación municipal. </w:t>
      </w:r>
    </w:p>
    <w:p w:rsidR="003F4F54" w:rsidRPr="00812CA9" w:rsidRDefault="004C0EE1" w:rsidP="00254EB0">
      <w:pPr>
        <w:jc w:val="both"/>
        <w:rPr>
          <w:rFonts w:cstheme="minorHAnsi"/>
          <w:b/>
          <w:color w:val="8064A2" w:themeColor="accent4"/>
          <w:sz w:val="24"/>
          <w:szCs w:val="24"/>
        </w:rPr>
      </w:pPr>
      <w:r>
        <w:rPr>
          <w:rFonts w:cstheme="minorHAnsi"/>
          <w:b/>
          <w:color w:val="8064A2" w:themeColor="accent4"/>
          <w:sz w:val="24"/>
          <w:szCs w:val="24"/>
        </w:rPr>
        <w:t>Inducción de</w:t>
      </w:r>
      <w:r w:rsidR="00254EB0" w:rsidRPr="00812CA9">
        <w:rPr>
          <w:rFonts w:cstheme="minorHAnsi"/>
          <w:b/>
          <w:color w:val="8064A2" w:themeColor="accent4"/>
          <w:sz w:val="24"/>
          <w:szCs w:val="24"/>
        </w:rPr>
        <w:t xml:space="preserve"> políticas fiscales que fortalezcan la inversión y apoyen a los sectores sociales más necesitados. </w:t>
      </w:r>
    </w:p>
    <w:p w:rsidR="002C57FA" w:rsidRDefault="00AA493A" w:rsidP="00812CA9">
      <w:pPr>
        <w:jc w:val="both"/>
        <w:rPr>
          <w:sz w:val="24"/>
          <w:szCs w:val="24"/>
        </w:rPr>
      </w:pPr>
      <w:r>
        <w:rPr>
          <w:sz w:val="24"/>
          <w:szCs w:val="24"/>
        </w:rPr>
        <w:t xml:space="preserve">Por otra parte </w:t>
      </w:r>
      <w:r w:rsidR="0001175F">
        <w:rPr>
          <w:sz w:val="24"/>
          <w:szCs w:val="24"/>
        </w:rPr>
        <w:t>e</w:t>
      </w:r>
      <w:r w:rsidR="002C57FA" w:rsidRPr="00812CA9">
        <w:rPr>
          <w:sz w:val="24"/>
          <w:szCs w:val="24"/>
        </w:rPr>
        <w:t xml:space="preserve">n </w:t>
      </w:r>
      <w:r w:rsidR="004C0EE1">
        <w:rPr>
          <w:sz w:val="24"/>
          <w:szCs w:val="24"/>
        </w:rPr>
        <w:t xml:space="preserve">el contenido de </w:t>
      </w:r>
      <w:r w:rsidR="002C57FA" w:rsidRPr="00812CA9">
        <w:rPr>
          <w:sz w:val="24"/>
          <w:szCs w:val="24"/>
        </w:rPr>
        <w:t>la Iniciativa de la Ley de Ingresos para e</w:t>
      </w:r>
      <w:r w:rsidR="00814862">
        <w:rPr>
          <w:sz w:val="24"/>
          <w:szCs w:val="24"/>
        </w:rPr>
        <w:t>l ejercicio fiscal 2020</w:t>
      </w:r>
      <w:r w:rsidR="004C0EE1">
        <w:rPr>
          <w:sz w:val="24"/>
          <w:szCs w:val="24"/>
        </w:rPr>
        <w:t>, fueron preservados los</w:t>
      </w:r>
      <w:r w:rsidR="002C57FA" w:rsidRPr="00812CA9">
        <w:rPr>
          <w:sz w:val="24"/>
          <w:szCs w:val="24"/>
        </w:rPr>
        <w:t xml:space="preserve"> incentivos fiscales que benefician a todos aquellos contribuyentes que generen desde 2 hasta más de 100 nuevos empleados, con descuentos en Impuestos y Derechos</w:t>
      </w:r>
      <w:r w:rsidR="005B0E56">
        <w:rPr>
          <w:sz w:val="24"/>
          <w:szCs w:val="24"/>
        </w:rPr>
        <w:t>,</w:t>
      </w:r>
      <w:r w:rsidR="004C0EE1">
        <w:rPr>
          <w:sz w:val="24"/>
          <w:szCs w:val="24"/>
        </w:rPr>
        <w:t xml:space="preserve"> con la finalidad de fomentar la inversión al interior de la localidad y coadyuve a mantener el dinamismo de la economía</w:t>
      </w:r>
      <w:r w:rsidR="005E7C68">
        <w:rPr>
          <w:sz w:val="24"/>
          <w:szCs w:val="24"/>
        </w:rPr>
        <w:t xml:space="preserve"> fomentando la inversión empresarial </w:t>
      </w:r>
      <w:r w:rsidR="008C28DE">
        <w:rPr>
          <w:sz w:val="24"/>
          <w:szCs w:val="24"/>
        </w:rPr>
        <w:t xml:space="preserve">y </w:t>
      </w:r>
      <w:r>
        <w:rPr>
          <w:sz w:val="24"/>
          <w:szCs w:val="24"/>
        </w:rPr>
        <w:t xml:space="preserve">en </w:t>
      </w:r>
      <w:r w:rsidR="008C28DE">
        <w:rPr>
          <w:sz w:val="24"/>
          <w:szCs w:val="24"/>
        </w:rPr>
        <w:t>consideración a la contingencia sanitaria</w:t>
      </w:r>
      <w:r>
        <w:rPr>
          <w:sz w:val="24"/>
          <w:szCs w:val="24"/>
        </w:rPr>
        <w:t xml:space="preserve"> por la pandemia</w:t>
      </w:r>
      <w:r w:rsidR="008C28DE">
        <w:rPr>
          <w:sz w:val="24"/>
          <w:szCs w:val="24"/>
        </w:rPr>
        <w:t xml:space="preserve"> </w:t>
      </w:r>
      <w:r>
        <w:rPr>
          <w:sz w:val="24"/>
          <w:szCs w:val="24"/>
        </w:rPr>
        <w:t xml:space="preserve">global del virus </w:t>
      </w:r>
      <w:r w:rsidR="008C28DE">
        <w:rPr>
          <w:sz w:val="24"/>
          <w:szCs w:val="24"/>
        </w:rPr>
        <w:t>COVI</w:t>
      </w:r>
      <w:r>
        <w:rPr>
          <w:sz w:val="24"/>
          <w:szCs w:val="24"/>
        </w:rPr>
        <w:t>D</w:t>
      </w:r>
      <w:r w:rsidR="008C28DE">
        <w:rPr>
          <w:sz w:val="24"/>
          <w:szCs w:val="24"/>
        </w:rPr>
        <w:t xml:space="preserve"> 2019.</w:t>
      </w:r>
    </w:p>
    <w:p w:rsidR="005E7C68" w:rsidRDefault="002C57FA" w:rsidP="005B0E56">
      <w:pPr>
        <w:pStyle w:val="Prrafodelista"/>
        <w:ind w:left="0"/>
        <w:jc w:val="both"/>
        <w:rPr>
          <w:sz w:val="24"/>
          <w:szCs w:val="24"/>
        </w:rPr>
      </w:pPr>
      <w:r w:rsidRPr="00812CA9">
        <w:rPr>
          <w:sz w:val="24"/>
          <w:szCs w:val="24"/>
        </w:rPr>
        <w:lastRenderedPageBreak/>
        <w:t xml:space="preserve">Así mismo </w:t>
      </w:r>
      <w:r w:rsidR="005E7C68">
        <w:rPr>
          <w:sz w:val="24"/>
          <w:szCs w:val="24"/>
        </w:rPr>
        <w:t xml:space="preserve">fueron considerados los apoyos de descuento en los rubros del impuesto predial, producto de piso en la vía pública del  50% a todos </w:t>
      </w:r>
      <w:r w:rsidRPr="00812CA9">
        <w:rPr>
          <w:sz w:val="24"/>
          <w:szCs w:val="24"/>
        </w:rPr>
        <w:t>aquellos contribuyentes que acrediten tener la calidad de pensionados, jubilados, discapacitados, viudos y viudas o que tengan 60 años o más.</w:t>
      </w:r>
    </w:p>
    <w:p w:rsidR="005B0E56" w:rsidRPr="005B0E56" w:rsidRDefault="005B0E56" w:rsidP="005B0E56">
      <w:pPr>
        <w:pStyle w:val="Prrafodelista"/>
        <w:ind w:left="0"/>
        <w:jc w:val="both"/>
        <w:rPr>
          <w:sz w:val="24"/>
          <w:szCs w:val="24"/>
        </w:rPr>
      </w:pPr>
    </w:p>
    <w:p w:rsidR="00254EB0" w:rsidRPr="005E7C68" w:rsidRDefault="00254EB0" w:rsidP="00254EB0">
      <w:pPr>
        <w:jc w:val="both"/>
        <w:rPr>
          <w:rFonts w:cstheme="minorHAnsi"/>
          <w:b/>
          <w:color w:val="8064A2" w:themeColor="accent4"/>
          <w:sz w:val="24"/>
          <w:szCs w:val="24"/>
        </w:rPr>
      </w:pPr>
      <w:r w:rsidRPr="005E7C68">
        <w:rPr>
          <w:rFonts w:cstheme="minorHAnsi"/>
          <w:b/>
          <w:color w:val="8064A2" w:themeColor="accent4"/>
          <w:sz w:val="24"/>
          <w:szCs w:val="24"/>
        </w:rPr>
        <w:t>Actualización permanentemente del registro municipal de contribuyentes, a fin</w:t>
      </w:r>
      <w:r w:rsidR="002C57FA" w:rsidRPr="005E7C68">
        <w:rPr>
          <w:rFonts w:cstheme="minorHAnsi"/>
          <w:b/>
          <w:color w:val="8064A2" w:themeColor="accent4"/>
          <w:sz w:val="24"/>
          <w:szCs w:val="24"/>
        </w:rPr>
        <w:t xml:space="preserve"> de garantizar la mejora </w:t>
      </w:r>
      <w:proofErr w:type="gramStart"/>
      <w:r w:rsidR="001561A1">
        <w:rPr>
          <w:rFonts w:cstheme="minorHAnsi"/>
          <w:b/>
          <w:color w:val="8064A2" w:themeColor="accent4"/>
          <w:sz w:val="24"/>
          <w:szCs w:val="24"/>
        </w:rPr>
        <w:t>continua</w:t>
      </w:r>
      <w:proofErr w:type="gramEnd"/>
      <w:r w:rsidRPr="005E7C68">
        <w:rPr>
          <w:rFonts w:cstheme="minorHAnsi"/>
          <w:b/>
          <w:color w:val="8064A2" w:themeColor="accent4"/>
          <w:sz w:val="24"/>
          <w:szCs w:val="24"/>
        </w:rPr>
        <w:t xml:space="preserve"> en el control del cumplimiento de las obligaciones fiscales. </w:t>
      </w:r>
    </w:p>
    <w:p w:rsidR="009B4662" w:rsidRDefault="00FE4539" w:rsidP="005E7C68">
      <w:pPr>
        <w:pStyle w:val="Prrafodelista"/>
        <w:ind w:left="0"/>
        <w:jc w:val="both"/>
        <w:rPr>
          <w:sz w:val="24"/>
          <w:szCs w:val="24"/>
        </w:rPr>
      </w:pPr>
      <w:r w:rsidRPr="005E7C68">
        <w:rPr>
          <w:sz w:val="24"/>
          <w:szCs w:val="24"/>
        </w:rPr>
        <w:t>En co</w:t>
      </w:r>
      <w:r w:rsidR="00FC2F44">
        <w:rPr>
          <w:sz w:val="24"/>
          <w:szCs w:val="24"/>
        </w:rPr>
        <w:t>ordinación con las áreas de</w:t>
      </w:r>
      <w:r w:rsidR="005E7C68">
        <w:rPr>
          <w:sz w:val="24"/>
          <w:szCs w:val="24"/>
        </w:rPr>
        <w:t xml:space="preserve"> Apremio</w:t>
      </w:r>
      <w:r w:rsidR="004E091D">
        <w:rPr>
          <w:sz w:val="24"/>
          <w:szCs w:val="24"/>
        </w:rPr>
        <w:t>s</w:t>
      </w:r>
      <w:r w:rsidRPr="005E7C68">
        <w:rPr>
          <w:sz w:val="24"/>
          <w:szCs w:val="24"/>
        </w:rPr>
        <w:t xml:space="preserve">, Padrón y Licencias, así como Catastro Municipal, </w:t>
      </w:r>
      <w:r w:rsidR="004E091D">
        <w:rPr>
          <w:sz w:val="24"/>
          <w:szCs w:val="24"/>
        </w:rPr>
        <w:t>como fue planteado en el P</w:t>
      </w:r>
      <w:r w:rsidR="005E7C68">
        <w:rPr>
          <w:sz w:val="24"/>
          <w:szCs w:val="24"/>
        </w:rPr>
        <w:t>lan Municipal de Desarrollo y Gobernanza 2018-2021, fueron realizados programas de depuración</w:t>
      </w:r>
      <w:r w:rsidR="009B4662">
        <w:rPr>
          <w:sz w:val="24"/>
          <w:szCs w:val="24"/>
        </w:rPr>
        <w:t xml:space="preserve"> </w:t>
      </w:r>
      <w:r w:rsidRPr="005E7C68">
        <w:rPr>
          <w:sz w:val="24"/>
          <w:szCs w:val="24"/>
        </w:rPr>
        <w:t>que generaban</w:t>
      </w:r>
      <w:r w:rsidR="009B4662">
        <w:rPr>
          <w:sz w:val="24"/>
          <w:szCs w:val="24"/>
        </w:rPr>
        <w:t xml:space="preserve"> información duplicada, desactualizada o inexistente</w:t>
      </w:r>
      <w:r w:rsidR="00F15B2A">
        <w:rPr>
          <w:sz w:val="24"/>
          <w:szCs w:val="24"/>
        </w:rPr>
        <w:t>,</w:t>
      </w:r>
      <w:r w:rsidR="009B4662">
        <w:rPr>
          <w:sz w:val="24"/>
          <w:szCs w:val="24"/>
        </w:rPr>
        <w:t xml:space="preserve"> en aras de mantener vigencia y certeza en las proyecciones efectuadas en la Ley de Ingresos, así como en la programación de flujos de efectivo para cumplir con los compromiso</w:t>
      </w:r>
      <w:r w:rsidR="004E091D">
        <w:rPr>
          <w:sz w:val="24"/>
          <w:szCs w:val="24"/>
        </w:rPr>
        <w:t>s de la Administración Pública M</w:t>
      </w:r>
      <w:r w:rsidR="009B4662">
        <w:rPr>
          <w:sz w:val="24"/>
          <w:szCs w:val="24"/>
        </w:rPr>
        <w:t xml:space="preserve">unicipal. </w:t>
      </w:r>
    </w:p>
    <w:p w:rsidR="009B4662" w:rsidRDefault="009B4662" w:rsidP="005E7C68">
      <w:pPr>
        <w:pStyle w:val="Prrafodelista"/>
        <w:ind w:left="0"/>
        <w:jc w:val="both"/>
        <w:rPr>
          <w:sz w:val="24"/>
          <w:szCs w:val="24"/>
        </w:rPr>
      </w:pPr>
    </w:p>
    <w:p w:rsidR="00FE4539" w:rsidRPr="005E7C68" w:rsidRDefault="008C28DE" w:rsidP="005E7C68">
      <w:pPr>
        <w:pStyle w:val="Prrafodelista"/>
        <w:ind w:left="0"/>
        <w:jc w:val="both"/>
        <w:rPr>
          <w:sz w:val="24"/>
          <w:szCs w:val="24"/>
        </w:rPr>
      </w:pPr>
      <w:r>
        <w:rPr>
          <w:sz w:val="24"/>
          <w:szCs w:val="24"/>
        </w:rPr>
        <w:t>Por otra parte,</w:t>
      </w:r>
      <w:r w:rsidR="00126117" w:rsidRPr="005E7C68">
        <w:rPr>
          <w:sz w:val="24"/>
          <w:szCs w:val="24"/>
        </w:rPr>
        <w:t xml:space="preserve"> </w:t>
      </w:r>
      <w:r w:rsidR="009B4662">
        <w:rPr>
          <w:sz w:val="24"/>
          <w:szCs w:val="24"/>
        </w:rPr>
        <w:t>fueron incorporados</w:t>
      </w:r>
      <w:r w:rsidR="00D9076D">
        <w:rPr>
          <w:sz w:val="24"/>
          <w:szCs w:val="24"/>
        </w:rPr>
        <w:t xml:space="preserve"> 368</w:t>
      </w:r>
      <w:r w:rsidR="00A9753C">
        <w:rPr>
          <w:sz w:val="24"/>
          <w:szCs w:val="24"/>
        </w:rPr>
        <w:t xml:space="preserve"> </w:t>
      </w:r>
      <w:r w:rsidR="00126117" w:rsidRPr="005E7C68">
        <w:rPr>
          <w:sz w:val="24"/>
          <w:szCs w:val="24"/>
        </w:rPr>
        <w:t>nuevos</w:t>
      </w:r>
      <w:r w:rsidR="009B4662">
        <w:rPr>
          <w:sz w:val="24"/>
          <w:szCs w:val="24"/>
        </w:rPr>
        <w:t xml:space="preserve"> registros que ampliaron el padrón de contribuyentes </w:t>
      </w:r>
      <w:r w:rsidR="0001175F">
        <w:rPr>
          <w:sz w:val="24"/>
          <w:szCs w:val="24"/>
        </w:rPr>
        <w:t>y que a su vez</w:t>
      </w:r>
      <w:r w:rsidR="009B4662">
        <w:rPr>
          <w:sz w:val="24"/>
          <w:szCs w:val="24"/>
        </w:rPr>
        <w:t xml:space="preserve"> fueron vinculados</w:t>
      </w:r>
      <w:r w:rsidR="00FE4539" w:rsidRPr="005E7C68">
        <w:rPr>
          <w:sz w:val="24"/>
          <w:szCs w:val="24"/>
        </w:rPr>
        <w:t xml:space="preserve"> en el rubro de </w:t>
      </w:r>
      <w:r w:rsidR="00126117" w:rsidRPr="005E7C68">
        <w:rPr>
          <w:sz w:val="24"/>
          <w:szCs w:val="24"/>
        </w:rPr>
        <w:t xml:space="preserve">licencias </w:t>
      </w:r>
      <w:r>
        <w:rPr>
          <w:sz w:val="24"/>
          <w:szCs w:val="24"/>
        </w:rPr>
        <w:t>(</w:t>
      </w:r>
      <w:r w:rsidR="00D9076D">
        <w:rPr>
          <w:sz w:val="24"/>
          <w:szCs w:val="24"/>
        </w:rPr>
        <w:t>212</w:t>
      </w:r>
      <w:r w:rsidR="009B4662">
        <w:rPr>
          <w:sz w:val="24"/>
          <w:szCs w:val="24"/>
        </w:rPr>
        <w:t xml:space="preserve"> </w:t>
      </w:r>
      <w:r w:rsidR="0008036F">
        <w:rPr>
          <w:sz w:val="24"/>
          <w:szCs w:val="24"/>
        </w:rPr>
        <w:t xml:space="preserve">en el comercio establecido y </w:t>
      </w:r>
      <w:r w:rsidR="00D9076D">
        <w:rPr>
          <w:sz w:val="24"/>
          <w:szCs w:val="24"/>
        </w:rPr>
        <w:t>156</w:t>
      </w:r>
      <w:r w:rsidR="009B4662">
        <w:rPr>
          <w:sz w:val="24"/>
          <w:szCs w:val="24"/>
        </w:rPr>
        <w:t xml:space="preserve"> en</w:t>
      </w:r>
      <w:r w:rsidR="00FE4539" w:rsidRPr="005E7C68">
        <w:rPr>
          <w:sz w:val="24"/>
          <w:szCs w:val="24"/>
        </w:rPr>
        <w:t xml:space="preserve"> vía</w:t>
      </w:r>
      <w:r w:rsidR="00126117" w:rsidRPr="005E7C68">
        <w:rPr>
          <w:sz w:val="24"/>
          <w:szCs w:val="24"/>
        </w:rPr>
        <w:t xml:space="preserve"> </w:t>
      </w:r>
      <w:r w:rsidR="009B4662" w:rsidRPr="005E7C68">
        <w:rPr>
          <w:sz w:val="24"/>
          <w:szCs w:val="24"/>
        </w:rPr>
        <w:t>pública</w:t>
      </w:r>
      <w:r w:rsidR="009B4662">
        <w:rPr>
          <w:sz w:val="24"/>
          <w:szCs w:val="24"/>
        </w:rPr>
        <w:t>).</w:t>
      </w:r>
    </w:p>
    <w:p w:rsidR="002B766E" w:rsidRPr="008C28DE" w:rsidRDefault="008C28DE" w:rsidP="00254EB0">
      <w:pPr>
        <w:jc w:val="both"/>
        <w:rPr>
          <w:sz w:val="24"/>
          <w:szCs w:val="24"/>
        </w:rPr>
      </w:pPr>
      <w:r>
        <w:rPr>
          <w:sz w:val="24"/>
          <w:szCs w:val="24"/>
        </w:rPr>
        <w:t>Finalmente y en congruencia con nuestra estrategia de fortalecer los ingresos propios en el rubro de</w:t>
      </w:r>
      <w:r w:rsidR="009B4662">
        <w:rPr>
          <w:sz w:val="24"/>
          <w:szCs w:val="24"/>
        </w:rPr>
        <w:t xml:space="preserve"> impuesto predial, fueron incorporadas </w:t>
      </w:r>
      <w:r w:rsidR="00905132">
        <w:rPr>
          <w:sz w:val="24"/>
          <w:szCs w:val="24"/>
        </w:rPr>
        <w:t>944</w:t>
      </w:r>
      <w:r w:rsidR="00FE4539" w:rsidRPr="005E7C68">
        <w:rPr>
          <w:sz w:val="24"/>
          <w:szCs w:val="24"/>
        </w:rPr>
        <w:t xml:space="preserve"> nueva</w:t>
      </w:r>
      <w:r w:rsidR="009B4662">
        <w:rPr>
          <w:sz w:val="24"/>
          <w:szCs w:val="24"/>
        </w:rPr>
        <w:t>s cuentas catastrales</w:t>
      </w:r>
      <w:r w:rsidR="00712614" w:rsidRPr="005E7C68">
        <w:rPr>
          <w:sz w:val="24"/>
          <w:szCs w:val="24"/>
        </w:rPr>
        <w:t xml:space="preserve"> </w:t>
      </w:r>
      <w:r w:rsidR="009B4662">
        <w:rPr>
          <w:sz w:val="24"/>
          <w:szCs w:val="24"/>
        </w:rPr>
        <w:t>(</w:t>
      </w:r>
      <w:r w:rsidR="00905132">
        <w:rPr>
          <w:sz w:val="24"/>
          <w:szCs w:val="24"/>
        </w:rPr>
        <w:t>43</w:t>
      </w:r>
      <w:r w:rsidR="004E091D">
        <w:rPr>
          <w:sz w:val="24"/>
          <w:szCs w:val="24"/>
        </w:rPr>
        <w:t xml:space="preserve"> rú</w:t>
      </w:r>
      <w:r w:rsidR="00FE4539" w:rsidRPr="005E7C68">
        <w:rPr>
          <w:sz w:val="24"/>
          <w:szCs w:val="24"/>
        </w:rPr>
        <w:t xml:space="preserve">sticas y </w:t>
      </w:r>
      <w:r w:rsidR="00905132">
        <w:rPr>
          <w:sz w:val="24"/>
          <w:szCs w:val="24"/>
        </w:rPr>
        <w:t>901</w:t>
      </w:r>
      <w:r w:rsidR="00FE4539" w:rsidRPr="005E7C68">
        <w:rPr>
          <w:sz w:val="24"/>
          <w:szCs w:val="24"/>
        </w:rPr>
        <w:t xml:space="preserve"> urbanas</w:t>
      </w:r>
      <w:r w:rsidR="009B4662">
        <w:rPr>
          <w:sz w:val="24"/>
          <w:szCs w:val="24"/>
        </w:rPr>
        <w:t xml:space="preserve">) que de igual forma vienen a fortalecer las finanzas públicas. </w:t>
      </w:r>
    </w:p>
    <w:p w:rsidR="00254EB0" w:rsidRPr="009B4662" w:rsidRDefault="00AA493A" w:rsidP="00254EB0">
      <w:pPr>
        <w:jc w:val="both"/>
        <w:rPr>
          <w:rFonts w:cstheme="minorHAnsi"/>
          <w:b/>
          <w:color w:val="8064A2" w:themeColor="accent4"/>
          <w:sz w:val="24"/>
          <w:szCs w:val="24"/>
        </w:rPr>
      </w:pPr>
      <w:r>
        <w:rPr>
          <w:rFonts w:cstheme="minorHAnsi"/>
          <w:b/>
          <w:color w:val="8064A2" w:themeColor="accent4"/>
          <w:sz w:val="24"/>
          <w:szCs w:val="24"/>
        </w:rPr>
        <w:t>C</w:t>
      </w:r>
      <w:r w:rsidR="005B0E56">
        <w:rPr>
          <w:rFonts w:cstheme="minorHAnsi"/>
          <w:b/>
          <w:color w:val="8064A2" w:themeColor="accent4"/>
          <w:sz w:val="24"/>
          <w:szCs w:val="24"/>
        </w:rPr>
        <w:t xml:space="preserve">ontrol tributario </w:t>
      </w:r>
      <w:r w:rsidR="00254EB0" w:rsidRPr="009B4662">
        <w:rPr>
          <w:rFonts w:cstheme="minorHAnsi"/>
          <w:b/>
          <w:color w:val="8064A2" w:themeColor="accent4"/>
          <w:sz w:val="24"/>
          <w:szCs w:val="24"/>
        </w:rPr>
        <w:t>a través de acciones permanentes de orientación y asistencia, verificación, fiscalización y cobranza coactiva.</w:t>
      </w:r>
    </w:p>
    <w:p w:rsidR="00444B1C" w:rsidRPr="009B4662" w:rsidRDefault="00FE4539" w:rsidP="00FE4539">
      <w:pPr>
        <w:jc w:val="both"/>
        <w:rPr>
          <w:sz w:val="24"/>
          <w:szCs w:val="24"/>
        </w:rPr>
      </w:pPr>
      <w:r w:rsidRPr="009B4662">
        <w:rPr>
          <w:sz w:val="24"/>
          <w:szCs w:val="24"/>
        </w:rPr>
        <w:t>En coordinación con el d</w:t>
      </w:r>
      <w:r w:rsidR="005B0E56">
        <w:rPr>
          <w:sz w:val="24"/>
          <w:szCs w:val="24"/>
        </w:rPr>
        <w:t>epartamento de Apremios, fueron realizadas</w:t>
      </w:r>
      <w:r w:rsidRPr="009B4662">
        <w:rPr>
          <w:sz w:val="24"/>
          <w:szCs w:val="24"/>
        </w:rPr>
        <w:t xml:space="preserve"> </w:t>
      </w:r>
      <w:r w:rsidR="00581EDA">
        <w:rPr>
          <w:sz w:val="24"/>
          <w:szCs w:val="24"/>
        </w:rPr>
        <w:t>5,579</w:t>
      </w:r>
      <w:r w:rsidR="00444B1C" w:rsidRPr="009B4662">
        <w:rPr>
          <w:sz w:val="24"/>
          <w:szCs w:val="24"/>
        </w:rPr>
        <w:t xml:space="preserve"> gestiones de cobro</w:t>
      </w:r>
      <w:r w:rsidR="00AA493A">
        <w:rPr>
          <w:sz w:val="24"/>
          <w:szCs w:val="24"/>
        </w:rPr>
        <w:t xml:space="preserve"> de rezagos en diversos rubros</w:t>
      </w:r>
      <w:r w:rsidR="00444B1C" w:rsidRPr="009B4662">
        <w:rPr>
          <w:sz w:val="24"/>
          <w:szCs w:val="24"/>
        </w:rPr>
        <w:t>, tal como se desglosa a continuación:</w:t>
      </w:r>
    </w:p>
    <w:p w:rsidR="00444B1C" w:rsidRPr="009B4662" w:rsidRDefault="00581EDA" w:rsidP="00444B1C">
      <w:pPr>
        <w:pStyle w:val="Prrafodelista"/>
        <w:numPr>
          <w:ilvl w:val="0"/>
          <w:numId w:val="1"/>
        </w:numPr>
        <w:jc w:val="both"/>
        <w:rPr>
          <w:sz w:val="24"/>
          <w:szCs w:val="24"/>
        </w:rPr>
      </w:pPr>
      <w:r>
        <w:rPr>
          <w:sz w:val="24"/>
          <w:szCs w:val="24"/>
        </w:rPr>
        <w:t xml:space="preserve"> </w:t>
      </w:r>
      <w:r w:rsidR="000B63BA">
        <w:rPr>
          <w:sz w:val="24"/>
          <w:szCs w:val="24"/>
        </w:rPr>
        <w:t xml:space="preserve">  </w:t>
      </w:r>
      <w:r>
        <w:rPr>
          <w:sz w:val="24"/>
          <w:szCs w:val="24"/>
        </w:rPr>
        <w:t>854</w:t>
      </w:r>
      <w:r w:rsidR="003E0858">
        <w:rPr>
          <w:sz w:val="24"/>
          <w:szCs w:val="24"/>
        </w:rPr>
        <w:t xml:space="preserve"> </w:t>
      </w:r>
      <w:r w:rsidR="00444B1C" w:rsidRPr="009B4662">
        <w:rPr>
          <w:sz w:val="24"/>
          <w:szCs w:val="24"/>
        </w:rPr>
        <w:t xml:space="preserve"> Invitaciones de Licencias Comerciales, con adeudos mayores a $1,000.00</w:t>
      </w:r>
    </w:p>
    <w:p w:rsidR="00444B1C" w:rsidRPr="009B4662" w:rsidRDefault="000B63BA" w:rsidP="00444B1C">
      <w:pPr>
        <w:pStyle w:val="Prrafodelista"/>
        <w:numPr>
          <w:ilvl w:val="0"/>
          <w:numId w:val="1"/>
        </w:numPr>
        <w:jc w:val="both"/>
        <w:rPr>
          <w:sz w:val="24"/>
          <w:szCs w:val="24"/>
        </w:rPr>
      </w:pPr>
      <w:r>
        <w:rPr>
          <w:sz w:val="24"/>
          <w:szCs w:val="24"/>
        </w:rPr>
        <w:t xml:space="preserve">  </w:t>
      </w:r>
      <w:r w:rsidR="00581EDA">
        <w:rPr>
          <w:sz w:val="24"/>
          <w:szCs w:val="24"/>
        </w:rPr>
        <w:t xml:space="preserve"> 639 </w:t>
      </w:r>
      <w:r>
        <w:rPr>
          <w:sz w:val="24"/>
          <w:szCs w:val="24"/>
        </w:rPr>
        <w:t xml:space="preserve"> </w:t>
      </w:r>
      <w:r w:rsidR="00444B1C" w:rsidRPr="009B4662">
        <w:rPr>
          <w:sz w:val="24"/>
          <w:szCs w:val="24"/>
        </w:rPr>
        <w:t>Cartas Invitación de Mercados y Tianguis a rezagos más significativos</w:t>
      </w:r>
      <w:r w:rsidR="00143EA6" w:rsidRPr="009B4662">
        <w:rPr>
          <w:sz w:val="24"/>
          <w:szCs w:val="24"/>
        </w:rPr>
        <w:t>.</w:t>
      </w:r>
    </w:p>
    <w:p w:rsidR="000B63BA" w:rsidRDefault="003E0858" w:rsidP="000B63BA">
      <w:pPr>
        <w:pStyle w:val="Prrafodelista"/>
        <w:numPr>
          <w:ilvl w:val="0"/>
          <w:numId w:val="1"/>
        </w:numPr>
        <w:jc w:val="both"/>
        <w:rPr>
          <w:sz w:val="24"/>
          <w:szCs w:val="24"/>
        </w:rPr>
      </w:pPr>
      <w:r>
        <w:rPr>
          <w:sz w:val="24"/>
          <w:szCs w:val="24"/>
        </w:rPr>
        <w:t>3,519</w:t>
      </w:r>
      <w:r w:rsidR="00581EDA">
        <w:rPr>
          <w:sz w:val="24"/>
          <w:szCs w:val="24"/>
        </w:rPr>
        <w:t xml:space="preserve"> </w:t>
      </w:r>
      <w:r w:rsidR="000B63BA">
        <w:rPr>
          <w:sz w:val="24"/>
          <w:szCs w:val="24"/>
        </w:rPr>
        <w:t xml:space="preserve"> </w:t>
      </w:r>
      <w:r w:rsidR="00444B1C" w:rsidRPr="009B4662">
        <w:rPr>
          <w:sz w:val="24"/>
          <w:szCs w:val="24"/>
        </w:rPr>
        <w:t>Determinación de Crédito</w:t>
      </w:r>
      <w:r>
        <w:rPr>
          <w:sz w:val="24"/>
          <w:szCs w:val="24"/>
        </w:rPr>
        <w:t>s fiscales de Impuesto Predial.</w:t>
      </w:r>
    </w:p>
    <w:p w:rsidR="00444B1C" w:rsidRPr="000B63BA" w:rsidRDefault="000B63BA" w:rsidP="000B63BA">
      <w:pPr>
        <w:pStyle w:val="Prrafodelista"/>
        <w:numPr>
          <w:ilvl w:val="0"/>
          <w:numId w:val="1"/>
        </w:numPr>
        <w:jc w:val="both"/>
        <w:rPr>
          <w:sz w:val="24"/>
          <w:szCs w:val="24"/>
        </w:rPr>
      </w:pPr>
      <w:r>
        <w:rPr>
          <w:sz w:val="24"/>
          <w:szCs w:val="24"/>
        </w:rPr>
        <w:t xml:space="preserve">   </w:t>
      </w:r>
      <w:r w:rsidRPr="000B63BA">
        <w:rPr>
          <w:sz w:val="24"/>
          <w:szCs w:val="24"/>
        </w:rPr>
        <w:t xml:space="preserve">567 </w:t>
      </w:r>
      <w:r>
        <w:rPr>
          <w:sz w:val="24"/>
          <w:szCs w:val="24"/>
        </w:rPr>
        <w:t xml:space="preserve"> </w:t>
      </w:r>
      <w:r w:rsidR="001B5C27" w:rsidRPr="000B63BA">
        <w:rPr>
          <w:sz w:val="24"/>
          <w:szCs w:val="24"/>
        </w:rPr>
        <w:t>C</w:t>
      </w:r>
      <w:r>
        <w:rPr>
          <w:sz w:val="24"/>
          <w:szCs w:val="24"/>
        </w:rPr>
        <w:t>artas invitación del módulo</w:t>
      </w:r>
      <w:r w:rsidR="0001175F">
        <w:rPr>
          <w:sz w:val="24"/>
          <w:szCs w:val="24"/>
        </w:rPr>
        <w:t xml:space="preserve"> </w:t>
      </w:r>
      <w:r w:rsidR="004E091D" w:rsidRPr="000B63BA">
        <w:rPr>
          <w:sz w:val="24"/>
          <w:szCs w:val="24"/>
        </w:rPr>
        <w:t>v</w:t>
      </w:r>
      <w:r w:rsidR="001B5C27" w:rsidRPr="000B63BA">
        <w:rPr>
          <w:sz w:val="24"/>
          <w:szCs w:val="24"/>
        </w:rPr>
        <w:t xml:space="preserve">ía </w:t>
      </w:r>
      <w:r w:rsidR="00126117" w:rsidRPr="000B63BA">
        <w:rPr>
          <w:sz w:val="24"/>
          <w:szCs w:val="24"/>
        </w:rPr>
        <w:t>pública</w:t>
      </w:r>
      <w:r w:rsidR="001B5C27" w:rsidRPr="000B63BA">
        <w:rPr>
          <w:sz w:val="24"/>
          <w:szCs w:val="24"/>
        </w:rPr>
        <w:t xml:space="preserve"> con los rezagos más significativos.</w:t>
      </w:r>
    </w:p>
    <w:p w:rsidR="008C28DE" w:rsidRPr="001B72C2" w:rsidRDefault="002414E3" w:rsidP="00FE4539">
      <w:pPr>
        <w:jc w:val="both"/>
        <w:rPr>
          <w:sz w:val="24"/>
          <w:szCs w:val="24"/>
        </w:rPr>
      </w:pPr>
      <w:r>
        <w:rPr>
          <w:sz w:val="24"/>
          <w:szCs w:val="24"/>
        </w:rPr>
        <w:t>Que significaron un ingreso de 7.3 millones de pesos, sin embargo c</w:t>
      </w:r>
      <w:r w:rsidR="008C28DE" w:rsidRPr="001B72C2">
        <w:rPr>
          <w:sz w:val="24"/>
          <w:szCs w:val="24"/>
        </w:rPr>
        <w:t xml:space="preserve">abe destacar que desprendido del análisis financiero de los ingresos </w:t>
      </w:r>
      <w:r w:rsidR="001B72C2" w:rsidRPr="001B72C2">
        <w:rPr>
          <w:sz w:val="24"/>
          <w:szCs w:val="24"/>
        </w:rPr>
        <w:t>propios</w:t>
      </w:r>
      <w:r w:rsidR="001B72C2">
        <w:rPr>
          <w:sz w:val="24"/>
          <w:szCs w:val="24"/>
        </w:rPr>
        <w:t>,</w:t>
      </w:r>
      <w:r w:rsidR="001B72C2" w:rsidRPr="001B72C2">
        <w:rPr>
          <w:sz w:val="24"/>
          <w:szCs w:val="24"/>
        </w:rPr>
        <w:t xml:space="preserve"> </w:t>
      </w:r>
      <w:r w:rsidR="001B72C2">
        <w:rPr>
          <w:sz w:val="24"/>
          <w:szCs w:val="24"/>
        </w:rPr>
        <w:t>y en base a lo expresado en la línea de acción de in</w:t>
      </w:r>
      <w:r w:rsidR="000B63BA">
        <w:rPr>
          <w:sz w:val="24"/>
          <w:szCs w:val="24"/>
        </w:rPr>
        <w:t xml:space="preserve">ducción de políticas fiscales </w:t>
      </w:r>
      <w:r w:rsidR="000E76FE">
        <w:rPr>
          <w:sz w:val="24"/>
          <w:szCs w:val="24"/>
        </w:rPr>
        <w:t xml:space="preserve">recaudatorias, </w:t>
      </w:r>
      <w:r w:rsidR="000B63BA">
        <w:rPr>
          <w:sz w:val="24"/>
          <w:szCs w:val="24"/>
        </w:rPr>
        <w:t>como consecuencia de</w:t>
      </w:r>
      <w:r w:rsidR="001B72C2">
        <w:rPr>
          <w:sz w:val="24"/>
          <w:szCs w:val="24"/>
        </w:rPr>
        <w:t xml:space="preserve"> la pandemia global COVID 19, se refleja en la siguiente gráfica una caída del i</w:t>
      </w:r>
      <w:r w:rsidR="00DF7E04">
        <w:rPr>
          <w:sz w:val="24"/>
          <w:szCs w:val="24"/>
        </w:rPr>
        <w:t>ngreso que se estima sobre los 13</w:t>
      </w:r>
      <w:r w:rsidR="001B72C2">
        <w:rPr>
          <w:sz w:val="24"/>
          <w:szCs w:val="24"/>
        </w:rPr>
        <w:t xml:space="preserve"> millones de pesos, </w:t>
      </w:r>
      <w:r w:rsidR="000B63BA">
        <w:rPr>
          <w:sz w:val="24"/>
          <w:szCs w:val="24"/>
        </w:rPr>
        <w:t xml:space="preserve">misma que se ha atendido </w:t>
      </w:r>
      <w:r w:rsidR="001B72C2">
        <w:rPr>
          <w:sz w:val="24"/>
          <w:szCs w:val="24"/>
        </w:rPr>
        <w:t>con acciones de refinanciamiento de deuda l</w:t>
      </w:r>
      <w:r w:rsidR="0001175F">
        <w:rPr>
          <w:sz w:val="24"/>
          <w:szCs w:val="24"/>
        </w:rPr>
        <w:t xml:space="preserve">a pública que permita mantener </w:t>
      </w:r>
      <w:r w:rsidR="001B72C2">
        <w:rPr>
          <w:sz w:val="24"/>
          <w:szCs w:val="24"/>
        </w:rPr>
        <w:t xml:space="preserve">el margen de maniobra financiera al interior de la Hacienda Pública Municipal </w:t>
      </w:r>
      <w:r w:rsidR="000A6462">
        <w:rPr>
          <w:sz w:val="24"/>
          <w:szCs w:val="24"/>
        </w:rPr>
        <w:t>para el</w:t>
      </w:r>
      <w:r w:rsidR="000B63BA">
        <w:rPr>
          <w:sz w:val="24"/>
          <w:szCs w:val="24"/>
        </w:rPr>
        <w:t xml:space="preserve"> 2021.</w:t>
      </w:r>
      <w:r w:rsidR="001B72C2">
        <w:rPr>
          <w:sz w:val="24"/>
          <w:szCs w:val="24"/>
        </w:rPr>
        <w:t xml:space="preserve">  </w:t>
      </w:r>
    </w:p>
    <w:p w:rsidR="00444B1C" w:rsidRPr="00F61DEA" w:rsidRDefault="00A9753C" w:rsidP="007016AD">
      <w:pPr>
        <w:jc w:val="center"/>
      </w:pPr>
      <w:r>
        <w:rPr>
          <w:noProof/>
          <w:lang w:eastAsia="es-MX"/>
        </w:rPr>
        <w:lastRenderedPageBreak/>
        <w:drawing>
          <wp:inline distT="0" distB="0" distL="0" distR="0" wp14:anchorId="7565921C" wp14:editId="4F1969AD">
            <wp:extent cx="5543550" cy="2852738"/>
            <wp:effectExtent l="0" t="0" r="0" b="50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0504" w:rsidRDefault="00BF0504" w:rsidP="00254EB0">
      <w:pPr>
        <w:jc w:val="both"/>
        <w:rPr>
          <w:rFonts w:cstheme="minorHAnsi"/>
          <w:b/>
          <w:color w:val="5F497A" w:themeColor="accent4" w:themeShade="BF"/>
        </w:rPr>
      </w:pPr>
    </w:p>
    <w:p w:rsidR="00254EB0" w:rsidRPr="006B61C5" w:rsidRDefault="006C5E3F" w:rsidP="00254EB0">
      <w:pPr>
        <w:jc w:val="both"/>
        <w:rPr>
          <w:rFonts w:cstheme="minorHAnsi"/>
          <w:b/>
          <w:color w:val="5F497A" w:themeColor="accent4" w:themeShade="BF"/>
          <w:sz w:val="24"/>
          <w:szCs w:val="24"/>
        </w:rPr>
      </w:pPr>
      <w:r w:rsidRPr="006B61C5">
        <w:rPr>
          <w:rFonts w:cstheme="minorHAnsi"/>
          <w:b/>
          <w:color w:val="5F497A" w:themeColor="accent4" w:themeShade="BF"/>
          <w:sz w:val="24"/>
          <w:szCs w:val="24"/>
        </w:rPr>
        <w:t xml:space="preserve">Fortalecimiento de </w:t>
      </w:r>
      <w:r w:rsidR="00254EB0" w:rsidRPr="006B61C5">
        <w:rPr>
          <w:rFonts w:cstheme="minorHAnsi"/>
          <w:b/>
          <w:color w:val="5F497A" w:themeColor="accent4" w:themeShade="BF"/>
          <w:sz w:val="24"/>
          <w:szCs w:val="24"/>
        </w:rPr>
        <w:t xml:space="preserve">la capacidad </w:t>
      </w:r>
      <w:r w:rsidRPr="006B61C5">
        <w:rPr>
          <w:rFonts w:cstheme="minorHAnsi"/>
          <w:b/>
          <w:color w:val="5F497A" w:themeColor="accent4" w:themeShade="BF"/>
          <w:sz w:val="24"/>
          <w:szCs w:val="24"/>
        </w:rPr>
        <w:t xml:space="preserve">para </w:t>
      </w:r>
      <w:r w:rsidR="00254EB0" w:rsidRPr="006B61C5">
        <w:rPr>
          <w:rFonts w:cstheme="minorHAnsi"/>
          <w:b/>
          <w:color w:val="5F497A" w:themeColor="accent4" w:themeShade="BF"/>
          <w:sz w:val="24"/>
          <w:szCs w:val="24"/>
        </w:rPr>
        <w:t>genera</w:t>
      </w:r>
      <w:r w:rsidRPr="006B61C5">
        <w:rPr>
          <w:rFonts w:cstheme="minorHAnsi"/>
          <w:b/>
          <w:color w:val="5F497A" w:themeColor="accent4" w:themeShade="BF"/>
          <w:sz w:val="24"/>
          <w:szCs w:val="24"/>
        </w:rPr>
        <w:t>r</w:t>
      </w:r>
      <w:r w:rsidR="00254EB0" w:rsidRPr="006B61C5">
        <w:rPr>
          <w:rFonts w:cstheme="minorHAnsi"/>
          <w:b/>
          <w:color w:val="5F497A" w:themeColor="accent4" w:themeShade="BF"/>
          <w:sz w:val="24"/>
          <w:szCs w:val="24"/>
        </w:rPr>
        <w:t xml:space="preserve"> recurs</w:t>
      </w:r>
      <w:r w:rsidR="00C36158" w:rsidRPr="006B61C5">
        <w:rPr>
          <w:rFonts w:cstheme="minorHAnsi"/>
          <w:b/>
          <w:color w:val="5F497A" w:themeColor="accent4" w:themeShade="BF"/>
          <w:sz w:val="24"/>
          <w:szCs w:val="24"/>
        </w:rPr>
        <w:t>os propios</w:t>
      </w:r>
      <w:r w:rsidR="00254EB0" w:rsidRPr="006B61C5">
        <w:rPr>
          <w:rFonts w:cstheme="minorHAnsi"/>
          <w:b/>
          <w:color w:val="5F497A" w:themeColor="accent4" w:themeShade="BF"/>
          <w:sz w:val="24"/>
          <w:szCs w:val="24"/>
        </w:rPr>
        <w:t xml:space="preserve">. </w:t>
      </w:r>
    </w:p>
    <w:p w:rsidR="006C5E3F" w:rsidRPr="006B61C5" w:rsidRDefault="00676EE0" w:rsidP="007016AD">
      <w:pPr>
        <w:jc w:val="both"/>
        <w:rPr>
          <w:rFonts w:cstheme="minorHAnsi"/>
          <w:sz w:val="24"/>
          <w:szCs w:val="24"/>
        </w:rPr>
      </w:pPr>
      <w:r w:rsidRPr="006B61C5">
        <w:rPr>
          <w:rFonts w:cstheme="minorHAnsi"/>
          <w:sz w:val="24"/>
          <w:szCs w:val="24"/>
        </w:rPr>
        <w:t xml:space="preserve">En el contexto de la recaudación de los recursos propios, se informa que al </w:t>
      </w:r>
      <w:r w:rsidR="004E091D" w:rsidRPr="006B61C5">
        <w:rPr>
          <w:rFonts w:cstheme="minorHAnsi"/>
          <w:sz w:val="24"/>
          <w:szCs w:val="24"/>
        </w:rPr>
        <w:t>31 de agosto de</w:t>
      </w:r>
      <w:r w:rsidR="006C2004">
        <w:rPr>
          <w:rFonts w:cstheme="minorHAnsi"/>
          <w:sz w:val="24"/>
          <w:szCs w:val="24"/>
        </w:rPr>
        <w:t xml:space="preserve"> 2020</w:t>
      </w:r>
      <w:r w:rsidRPr="006B61C5">
        <w:rPr>
          <w:rFonts w:cstheme="minorHAnsi"/>
          <w:sz w:val="24"/>
          <w:szCs w:val="24"/>
        </w:rPr>
        <w:t xml:space="preserve"> y de acuerdo con la siguiente gráfica, se mantienen los siguientes factores porcentuales</w:t>
      </w:r>
      <w:r w:rsidR="005B0E56" w:rsidRPr="006B61C5">
        <w:rPr>
          <w:rFonts w:cstheme="minorHAnsi"/>
          <w:sz w:val="24"/>
          <w:szCs w:val="24"/>
        </w:rPr>
        <w:t xml:space="preserve"> de recaudación en los rubros de</w:t>
      </w:r>
      <w:r w:rsidR="009A4A06" w:rsidRPr="006B61C5">
        <w:rPr>
          <w:rFonts w:cstheme="minorHAnsi"/>
          <w:sz w:val="24"/>
          <w:szCs w:val="24"/>
        </w:rPr>
        <w:t>:</w:t>
      </w:r>
    </w:p>
    <w:p w:rsidR="006C5E3F" w:rsidRPr="006B61C5" w:rsidRDefault="009A4A06" w:rsidP="006C5E3F">
      <w:pPr>
        <w:pStyle w:val="Prrafodelista"/>
        <w:numPr>
          <w:ilvl w:val="0"/>
          <w:numId w:val="2"/>
        </w:numPr>
        <w:jc w:val="both"/>
        <w:rPr>
          <w:rFonts w:cstheme="minorHAnsi"/>
          <w:sz w:val="24"/>
          <w:szCs w:val="24"/>
        </w:rPr>
      </w:pPr>
      <w:r w:rsidRPr="006B61C5">
        <w:rPr>
          <w:rFonts w:cstheme="minorHAnsi"/>
          <w:sz w:val="24"/>
          <w:szCs w:val="24"/>
        </w:rPr>
        <w:t>I</w:t>
      </w:r>
      <w:r w:rsidR="006C5E3F" w:rsidRPr="006B61C5">
        <w:rPr>
          <w:rFonts w:cstheme="minorHAnsi"/>
          <w:sz w:val="24"/>
          <w:szCs w:val="24"/>
        </w:rPr>
        <w:t>mpuestos</w:t>
      </w:r>
      <w:r w:rsidRPr="006B61C5">
        <w:rPr>
          <w:rFonts w:cstheme="minorHAnsi"/>
          <w:sz w:val="24"/>
          <w:szCs w:val="24"/>
        </w:rPr>
        <w:t xml:space="preserve"> </w:t>
      </w:r>
    </w:p>
    <w:p w:rsidR="006C5E3F" w:rsidRPr="006B61C5" w:rsidRDefault="009A4A06" w:rsidP="006C5E3F">
      <w:pPr>
        <w:pStyle w:val="Prrafodelista"/>
        <w:numPr>
          <w:ilvl w:val="0"/>
          <w:numId w:val="2"/>
        </w:numPr>
        <w:jc w:val="both"/>
        <w:rPr>
          <w:rFonts w:cstheme="minorHAnsi"/>
          <w:sz w:val="24"/>
          <w:szCs w:val="24"/>
        </w:rPr>
      </w:pPr>
      <w:r w:rsidRPr="006B61C5">
        <w:rPr>
          <w:rFonts w:cstheme="minorHAnsi"/>
          <w:sz w:val="24"/>
          <w:szCs w:val="24"/>
        </w:rPr>
        <w:t>D</w:t>
      </w:r>
      <w:r w:rsidR="006C5E3F" w:rsidRPr="006B61C5">
        <w:rPr>
          <w:rFonts w:cstheme="minorHAnsi"/>
          <w:sz w:val="24"/>
          <w:szCs w:val="24"/>
        </w:rPr>
        <w:t>erechos</w:t>
      </w:r>
    </w:p>
    <w:p w:rsidR="006C5E3F" w:rsidRPr="006B61C5" w:rsidRDefault="009A4A06" w:rsidP="006C5E3F">
      <w:pPr>
        <w:pStyle w:val="Prrafodelista"/>
        <w:numPr>
          <w:ilvl w:val="0"/>
          <w:numId w:val="2"/>
        </w:numPr>
        <w:jc w:val="both"/>
        <w:rPr>
          <w:rFonts w:cstheme="minorHAnsi"/>
          <w:sz w:val="24"/>
          <w:szCs w:val="24"/>
        </w:rPr>
      </w:pPr>
      <w:r w:rsidRPr="006B61C5">
        <w:rPr>
          <w:rFonts w:cstheme="minorHAnsi"/>
          <w:sz w:val="24"/>
          <w:szCs w:val="24"/>
        </w:rPr>
        <w:t xml:space="preserve">Productos  </w:t>
      </w:r>
    </w:p>
    <w:p w:rsidR="006C5E3F" w:rsidRPr="006B61C5" w:rsidRDefault="009A4A06" w:rsidP="006C5E3F">
      <w:pPr>
        <w:pStyle w:val="Prrafodelista"/>
        <w:numPr>
          <w:ilvl w:val="0"/>
          <w:numId w:val="2"/>
        </w:numPr>
        <w:jc w:val="both"/>
        <w:rPr>
          <w:rFonts w:cstheme="minorHAnsi"/>
          <w:sz w:val="24"/>
          <w:szCs w:val="24"/>
        </w:rPr>
      </w:pPr>
      <w:r w:rsidRPr="006B61C5">
        <w:rPr>
          <w:rFonts w:cstheme="minorHAnsi"/>
          <w:sz w:val="24"/>
          <w:szCs w:val="24"/>
        </w:rPr>
        <w:t>A</w:t>
      </w:r>
      <w:r w:rsidR="005B0E56" w:rsidRPr="006B61C5">
        <w:rPr>
          <w:rFonts w:cstheme="minorHAnsi"/>
          <w:sz w:val="24"/>
          <w:szCs w:val="24"/>
        </w:rPr>
        <w:t xml:space="preserve">provechamientos </w:t>
      </w:r>
      <w:r w:rsidR="00676EE0" w:rsidRPr="006B61C5">
        <w:rPr>
          <w:rFonts w:cstheme="minorHAnsi"/>
          <w:sz w:val="24"/>
          <w:szCs w:val="24"/>
        </w:rPr>
        <w:t xml:space="preserve"> </w:t>
      </w:r>
    </w:p>
    <w:p w:rsidR="006C5E3F" w:rsidRDefault="006C5E3F" w:rsidP="007016AD">
      <w:pPr>
        <w:jc w:val="both"/>
        <w:rPr>
          <w:rFonts w:cstheme="minorHAnsi"/>
          <w:sz w:val="24"/>
          <w:szCs w:val="24"/>
        </w:rPr>
      </w:pPr>
      <w:r w:rsidRPr="006B61C5">
        <w:rPr>
          <w:rFonts w:cstheme="minorHAnsi"/>
          <w:sz w:val="24"/>
          <w:szCs w:val="24"/>
        </w:rPr>
        <w:t>Q</w:t>
      </w:r>
      <w:r w:rsidR="00676EE0" w:rsidRPr="006B61C5">
        <w:rPr>
          <w:rFonts w:cstheme="minorHAnsi"/>
          <w:sz w:val="24"/>
          <w:szCs w:val="24"/>
        </w:rPr>
        <w:t xml:space="preserve">ue integran el monto de </w:t>
      </w:r>
      <w:r w:rsidR="00137E0A">
        <w:rPr>
          <w:rFonts w:cstheme="minorHAnsi"/>
          <w:sz w:val="24"/>
          <w:szCs w:val="24"/>
        </w:rPr>
        <w:t>100</w:t>
      </w:r>
      <w:r w:rsidR="00345991">
        <w:rPr>
          <w:rFonts w:cstheme="minorHAnsi"/>
          <w:sz w:val="24"/>
          <w:szCs w:val="24"/>
        </w:rPr>
        <w:t>.</w:t>
      </w:r>
      <w:r w:rsidR="00137E0A">
        <w:rPr>
          <w:rFonts w:cstheme="minorHAnsi"/>
          <w:sz w:val="24"/>
          <w:szCs w:val="24"/>
        </w:rPr>
        <w:t>4</w:t>
      </w:r>
      <w:r w:rsidR="00345991">
        <w:rPr>
          <w:rFonts w:cstheme="minorHAnsi"/>
          <w:sz w:val="24"/>
          <w:szCs w:val="24"/>
        </w:rPr>
        <w:t xml:space="preserve"> millones de pesos,</w:t>
      </w:r>
      <w:r w:rsidR="0073176D" w:rsidRPr="006B61C5">
        <w:rPr>
          <w:rFonts w:cstheme="minorHAnsi"/>
          <w:sz w:val="24"/>
          <w:szCs w:val="24"/>
        </w:rPr>
        <w:t xml:space="preserve"> importe que representa</w:t>
      </w:r>
      <w:r w:rsidR="00602FF4" w:rsidRPr="006B61C5">
        <w:rPr>
          <w:rFonts w:cstheme="minorHAnsi"/>
          <w:sz w:val="24"/>
          <w:szCs w:val="24"/>
        </w:rPr>
        <w:t xml:space="preserve"> </w:t>
      </w:r>
      <w:r w:rsidR="00345991">
        <w:rPr>
          <w:rFonts w:cstheme="minorHAnsi"/>
          <w:sz w:val="24"/>
          <w:szCs w:val="24"/>
        </w:rPr>
        <w:t xml:space="preserve">un 4% menor al periodo inmediato anterior </w:t>
      </w:r>
      <w:r w:rsidRPr="006B61C5">
        <w:rPr>
          <w:rFonts w:cstheme="minorHAnsi"/>
          <w:sz w:val="24"/>
          <w:szCs w:val="24"/>
        </w:rPr>
        <w:t>2019</w:t>
      </w:r>
      <w:r w:rsidR="008C2828">
        <w:rPr>
          <w:rFonts w:cstheme="minorHAnsi"/>
          <w:sz w:val="24"/>
          <w:szCs w:val="24"/>
        </w:rPr>
        <w:t>, como consecuencia de la pandemia de coronavirus</w:t>
      </w:r>
      <w:r w:rsidR="00BF0504">
        <w:rPr>
          <w:rFonts w:cstheme="minorHAnsi"/>
          <w:sz w:val="24"/>
          <w:szCs w:val="24"/>
        </w:rPr>
        <w:t>,</w:t>
      </w:r>
      <w:r w:rsidR="008C2828">
        <w:rPr>
          <w:rFonts w:cstheme="minorHAnsi"/>
          <w:sz w:val="24"/>
          <w:szCs w:val="24"/>
        </w:rPr>
        <w:t xml:space="preserve"> que afecta a nivel global las actividades económicas</w:t>
      </w:r>
      <w:r w:rsidR="00BF0504">
        <w:rPr>
          <w:rFonts w:cstheme="minorHAnsi"/>
          <w:sz w:val="24"/>
          <w:szCs w:val="24"/>
        </w:rPr>
        <w:t xml:space="preserve">. </w:t>
      </w:r>
      <w:r w:rsidR="008C2828">
        <w:rPr>
          <w:rFonts w:cstheme="minorHAnsi"/>
          <w:sz w:val="24"/>
          <w:szCs w:val="24"/>
        </w:rPr>
        <w:t xml:space="preserve"> </w:t>
      </w:r>
    </w:p>
    <w:p w:rsidR="00BF0504" w:rsidRDefault="00DD6D65" w:rsidP="007016AD">
      <w:pPr>
        <w:jc w:val="both"/>
        <w:rPr>
          <w:rFonts w:cstheme="minorHAnsi"/>
        </w:rPr>
      </w:pPr>
      <w:r>
        <w:rPr>
          <w:rFonts w:cstheme="minorHAnsi"/>
          <w:sz w:val="24"/>
          <w:szCs w:val="24"/>
        </w:rPr>
        <w:t>En el contexto anterior como ya ha sido mencionado anteriormente, no obstante la política de recuperaci</w:t>
      </w:r>
      <w:r w:rsidR="00F641CA">
        <w:rPr>
          <w:rFonts w:cstheme="minorHAnsi"/>
          <w:sz w:val="24"/>
          <w:szCs w:val="24"/>
        </w:rPr>
        <w:t>ón del rezago, la estrategia se continúa impulsando a través de la oferta de descuentos de recar</w:t>
      </w:r>
      <w:r w:rsidR="00835849">
        <w:rPr>
          <w:rFonts w:cstheme="minorHAnsi"/>
          <w:sz w:val="24"/>
          <w:szCs w:val="24"/>
        </w:rPr>
        <w:t>gos hasta por el</w:t>
      </w:r>
      <w:r w:rsidR="00615723">
        <w:rPr>
          <w:rFonts w:cstheme="minorHAnsi"/>
          <w:sz w:val="24"/>
          <w:szCs w:val="24"/>
        </w:rPr>
        <w:t xml:space="preserve"> factor del 75%, para incentivar</w:t>
      </w:r>
      <w:r w:rsidR="00835849">
        <w:rPr>
          <w:rFonts w:cstheme="minorHAnsi"/>
          <w:sz w:val="24"/>
          <w:szCs w:val="24"/>
        </w:rPr>
        <w:t xml:space="preserve"> a la población a cubrir los adeudos, </w:t>
      </w:r>
      <w:r w:rsidR="00615723">
        <w:rPr>
          <w:rFonts w:cstheme="minorHAnsi"/>
          <w:sz w:val="24"/>
          <w:szCs w:val="24"/>
        </w:rPr>
        <w:t>descontando</w:t>
      </w:r>
      <w:r w:rsidR="00835849">
        <w:rPr>
          <w:rFonts w:cstheme="minorHAnsi"/>
          <w:sz w:val="24"/>
          <w:szCs w:val="24"/>
        </w:rPr>
        <w:t xml:space="preserve"> las multas por concepto de notificación y cobranza.</w:t>
      </w:r>
    </w:p>
    <w:p w:rsidR="009A4A06" w:rsidRDefault="00D501CC" w:rsidP="00602FF4">
      <w:pPr>
        <w:jc w:val="center"/>
        <w:rPr>
          <w:rFonts w:cstheme="minorHAnsi"/>
          <w:b/>
          <w:color w:val="8064A2" w:themeColor="accent4"/>
        </w:rPr>
      </w:pPr>
      <w:r>
        <w:rPr>
          <w:noProof/>
          <w:lang w:eastAsia="es-MX"/>
        </w:rPr>
        <w:lastRenderedPageBreak/>
        <w:drawing>
          <wp:inline distT="0" distB="0" distL="0" distR="0" wp14:anchorId="3BED46F3" wp14:editId="70881939">
            <wp:extent cx="5143500" cy="3062288"/>
            <wp:effectExtent l="0" t="0" r="0" b="508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731E" w:rsidRDefault="001B731E" w:rsidP="00254EB0">
      <w:pPr>
        <w:jc w:val="both"/>
        <w:rPr>
          <w:noProof/>
          <w:lang w:eastAsia="es-MX"/>
        </w:rPr>
      </w:pPr>
    </w:p>
    <w:p w:rsidR="00D501CC" w:rsidRDefault="00D501CC" w:rsidP="00254EB0">
      <w:pPr>
        <w:jc w:val="both"/>
        <w:rPr>
          <w:rFonts w:cstheme="minorHAnsi"/>
          <w:b/>
          <w:color w:val="8064A2" w:themeColor="accent4"/>
        </w:rPr>
      </w:pPr>
      <w:r>
        <w:rPr>
          <w:noProof/>
          <w:lang w:eastAsia="es-MX"/>
        </w:rPr>
        <w:drawing>
          <wp:inline distT="0" distB="0" distL="0" distR="0" wp14:anchorId="070FB70E" wp14:editId="6DB51C47">
            <wp:extent cx="5612130" cy="2543175"/>
            <wp:effectExtent l="0" t="0" r="762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731E" w:rsidRDefault="001B731E" w:rsidP="00254EB0">
      <w:pPr>
        <w:jc w:val="both"/>
        <w:rPr>
          <w:rFonts w:cstheme="minorHAnsi"/>
          <w:b/>
          <w:color w:val="8064A2" w:themeColor="accent4"/>
        </w:rPr>
      </w:pPr>
    </w:p>
    <w:p w:rsidR="00254EB0" w:rsidRPr="004963B7" w:rsidRDefault="006C2004" w:rsidP="00254EB0">
      <w:pPr>
        <w:jc w:val="both"/>
        <w:rPr>
          <w:rFonts w:cstheme="minorHAnsi"/>
          <w:b/>
          <w:color w:val="8064A2" w:themeColor="accent4"/>
          <w:sz w:val="24"/>
          <w:szCs w:val="24"/>
        </w:rPr>
      </w:pPr>
      <w:r>
        <w:rPr>
          <w:rFonts w:cstheme="minorHAnsi"/>
          <w:b/>
          <w:color w:val="8064A2" w:themeColor="accent4"/>
          <w:sz w:val="24"/>
          <w:szCs w:val="24"/>
        </w:rPr>
        <w:t>Impulso</w:t>
      </w:r>
      <w:r w:rsidR="00254EB0" w:rsidRPr="004963B7">
        <w:rPr>
          <w:rFonts w:cstheme="minorHAnsi"/>
          <w:b/>
          <w:color w:val="8064A2" w:themeColor="accent4"/>
          <w:sz w:val="24"/>
          <w:szCs w:val="24"/>
        </w:rPr>
        <w:t xml:space="preserve"> la generación de recursos mediante acciones que fortalezcan la colaboración administrativa en materia fiscal con la Federación y el Estado.</w:t>
      </w:r>
    </w:p>
    <w:p w:rsidR="002036A4" w:rsidRPr="004963B7" w:rsidRDefault="002036A4" w:rsidP="00254EB0">
      <w:pPr>
        <w:jc w:val="both"/>
        <w:rPr>
          <w:rFonts w:cstheme="minorHAnsi"/>
          <w:sz w:val="24"/>
          <w:szCs w:val="24"/>
        </w:rPr>
      </w:pPr>
      <w:r w:rsidRPr="004963B7">
        <w:rPr>
          <w:rFonts w:cstheme="minorHAnsi"/>
          <w:sz w:val="24"/>
          <w:szCs w:val="24"/>
        </w:rPr>
        <w:t>Al cierre de</w:t>
      </w:r>
      <w:r w:rsidR="006C5E3F" w:rsidRPr="004963B7">
        <w:rPr>
          <w:rFonts w:cstheme="minorHAnsi"/>
          <w:sz w:val="24"/>
          <w:szCs w:val="24"/>
        </w:rPr>
        <w:t xml:space="preserve">l </w:t>
      </w:r>
      <w:r w:rsidR="00C36158" w:rsidRPr="004963B7">
        <w:rPr>
          <w:rFonts w:cstheme="minorHAnsi"/>
          <w:sz w:val="24"/>
          <w:szCs w:val="24"/>
        </w:rPr>
        <w:t>año</w:t>
      </w:r>
      <w:r w:rsidR="006C5E3F" w:rsidRPr="004963B7">
        <w:rPr>
          <w:rFonts w:cstheme="minorHAnsi"/>
          <w:sz w:val="24"/>
          <w:szCs w:val="24"/>
        </w:rPr>
        <w:t xml:space="preserve"> 2019</w:t>
      </w:r>
      <w:r w:rsidR="00C36158" w:rsidRPr="004963B7">
        <w:rPr>
          <w:rFonts w:cstheme="minorHAnsi"/>
          <w:sz w:val="24"/>
          <w:szCs w:val="24"/>
        </w:rPr>
        <w:t xml:space="preserve"> de gobierno</w:t>
      </w:r>
      <w:r w:rsidR="006C5E3F" w:rsidRPr="004963B7">
        <w:rPr>
          <w:rFonts w:cstheme="minorHAnsi"/>
          <w:sz w:val="24"/>
          <w:szCs w:val="24"/>
        </w:rPr>
        <w:t>,</w:t>
      </w:r>
      <w:r w:rsidR="00C36158" w:rsidRPr="004963B7">
        <w:rPr>
          <w:rFonts w:cstheme="minorHAnsi"/>
          <w:sz w:val="24"/>
          <w:szCs w:val="24"/>
        </w:rPr>
        <w:t xml:space="preserve"> fueron suscritos y </w:t>
      </w:r>
      <w:r w:rsidRPr="004963B7">
        <w:rPr>
          <w:rFonts w:cstheme="minorHAnsi"/>
          <w:sz w:val="24"/>
          <w:szCs w:val="24"/>
        </w:rPr>
        <w:t>autorizado</w:t>
      </w:r>
      <w:r w:rsidR="004E091D" w:rsidRPr="004963B7">
        <w:rPr>
          <w:rFonts w:cstheme="minorHAnsi"/>
          <w:sz w:val="24"/>
          <w:szCs w:val="24"/>
        </w:rPr>
        <w:t>s</w:t>
      </w:r>
      <w:r w:rsidRPr="004963B7">
        <w:rPr>
          <w:rFonts w:cstheme="minorHAnsi"/>
          <w:sz w:val="24"/>
          <w:szCs w:val="24"/>
        </w:rPr>
        <w:t xml:space="preserve"> tres convenios de colabora</w:t>
      </w:r>
      <w:r w:rsidR="00C36158" w:rsidRPr="004963B7">
        <w:rPr>
          <w:rFonts w:cstheme="minorHAnsi"/>
          <w:sz w:val="24"/>
          <w:szCs w:val="24"/>
        </w:rPr>
        <w:t>ción con el Gobierno del Estado</w:t>
      </w:r>
      <w:r w:rsidR="006C5E3F" w:rsidRPr="004963B7">
        <w:rPr>
          <w:rFonts w:cstheme="minorHAnsi"/>
          <w:sz w:val="24"/>
          <w:szCs w:val="24"/>
        </w:rPr>
        <w:t xml:space="preserve"> de Jalisco</w:t>
      </w:r>
      <w:r w:rsidR="00C36158" w:rsidRPr="004963B7">
        <w:rPr>
          <w:rFonts w:cstheme="minorHAnsi"/>
          <w:sz w:val="24"/>
          <w:szCs w:val="24"/>
        </w:rPr>
        <w:t xml:space="preserve"> para fortalecer </w:t>
      </w:r>
      <w:r w:rsidR="004E091D" w:rsidRPr="004963B7">
        <w:rPr>
          <w:rFonts w:cstheme="minorHAnsi"/>
          <w:sz w:val="24"/>
          <w:szCs w:val="24"/>
        </w:rPr>
        <w:t xml:space="preserve">la vinculación con el </w:t>
      </w:r>
      <w:r w:rsidR="006C5E3F" w:rsidRPr="004963B7">
        <w:rPr>
          <w:rFonts w:cstheme="minorHAnsi"/>
          <w:sz w:val="24"/>
          <w:szCs w:val="24"/>
        </w:rPr>
        <w:t>mismo</w:t>
      </w:r>
      <w:r w:rsidR="00C36158" w:rsidRPr="004963B7">
        <w:rPr>
          <w:rFonts w:cstheme="minorHAnsi"/>
          <w:sz w:val="24"/>
          <w:szCs w:val="24"/>
        </w:rPr>
        <w:t xml:space="preserve"> en materia recaudatoria: </w:t>
      </w:r>
      <w:r w:rsidRPr="004963B7">
        <w:rPr>
          <w:rFonts w:cstheme="minorHAnsi"/>
          <w:sz w:val="24"/>
          <w:szCs w:val="24"/>
        </w:rPr>
        <w:t xml:space="preserve"> </w:t>
      </w:r>
    </w:p>
    <w:p w:rsidR="002036A4" w:rsidRPr="004963B7" w:rsidRDefault="002036A4" w:rsidP="00254EB0">
      <w:pPr>
        <w:jc w:val="both"/>
        <w:rPr>
          <w:rFonts w:cstheme="minorHAnsi"/>
          <w:sz w:val="24"/>
          <w:szCs w:val="24"/>
        </w:rPr>
      </w:pPr>
      <w:r w:rsidRPr="004963B7">
        <w:rPr>
          <w:rFonts w:cstheme="minorHAnsi"/>
          <w:sz w:val="24"/>
          <w:szCs w:val="24"/>
        </w:rPr>
        <w:lastRenderedPageBreak/>
        <w:t xml:space="preserve"> “Convenio de coordinación y colaboración administrativa en material del Impuesto Predial” el prim</w:t>
      </w:r>
      <w:r w:rsidR="004E091D" w:rsidRPr="004963B7">
        <w:rPr>
          <w:rFonts w:cstheme="minorHAnsi"/>
          <w:sz w:val="24"/>
          <w:szCs w:val="24"/>
        </w:rPr>
        <w:t>ero publicado el 25 de abril de</w:t>
      </w:r>
      <w:r w:rsidRPr="004963B7">
        <w:rPr>
          <w:rFonts w:cstheme="minorHAnsi"/>
          <w:sz w:val="24"/>
          <w:szCs w:val="24"/>
        </w:rPr>
        <w:t xml:space="preserve"> 2019.</w:t>
      </w:r>
    </w:p>
    <w:p w:rsidR="003D4F46" w:rsidRPr="004963B7" w:rsidRDefault="002B766E" w:rsidP="00254EB0">
      <w:pPr>
        <w:jc w:val="both"/>
        <w:rPr>
          <w:rFonts w:cstheme="minorHAnsi"/>
          <w:sz w:val="24"/>
          <w:szCs w:val="24"/>
        </w:rPr>
      </w:pPr>
      <w:r w:rsidRPr="004963B7">
        <w:rPr>
          <w:rFonts w:cstheme="minorHAnsi"/>
          <w:sz w:val="24"/>
          <w:szCs w:val="24"/>
        </w:rPr>
        <w:t xml:space="preserve"> </w:t>
      </w:r>
      <w:r w:rsidR="002036A4" w:rsidRPr="004963B7">
        <w:rPr>
          <w:rFonts w:cstheme="minorHAnsi"/>
          <w:sz w:val="24"/>
          <w:szCs w:val="24"/>
        </w:rPr>
        <w:t>“Convenio de coordinación y colaboración administrativa para la recaudación de multas impuestas por infracciones cometidas a ley de movilidad y trasporte del estado de Jalisco y su reglamento” publicado el 11 de junio de 2019.</w:t>
      </w:r>
    </w:p>
    <w:p w:rsidR="002036A4" w:rsidRPr="004963B7" w:rsidRDefault="002036A4" w:rsidP="00254EB0">
      <w:pPr>
        <w:jc w:val="both"/>
        <w:rPr>
          <w:rFonts w:cstheme="minorHAnsi"/>
          <w:sz w:val="24"/>
          <w:szCs w:val="24"/>
        </w:rPr>
      </w:pPr>
      <w:r w:rsidRPr="004963B7">
        <w:rPr>
          <w:rFonts w:cstheme="minorHAnsi"/>
          <w:sz w:val="24"/>
          <w:szCs w:val="24"/>
        </w:rPr>
        <w:t>“Convenio de coordinación y colaboración administrativa</w:t>
      </w:r>
      <w:r w:rsidR="00712614" w:rsidRPr="004963B7">
        <w:rPr>
          <w:rFonts w:cstheme="minorHAnsi"/>
          <w:sz w:val="24"/>
          <w:szCs w:val="24"/>
        </w:rPr>
        <w:t xml:space="preserve"> en materia de registro federal y estatal de contribuyentes, así como de intercambio de información fiscal de padrones</w:t>
      </w:r>
      <w:r w:rsidRPr="004963B7">
        <w:rPr>
          <w:rFonts w:cstheme="minorHAnsi"/>
          <w:sz w:val="24"/>
          <w:szCs w:val="24"/>
        </w:rPr>
        <w:t xml:space="preserve">” pendiente su publicación. </w:t>
      </w:r>
    </w:p>
    <w:p w:rsidR="004963B7" w:rsidRPr="006C2004" w:rsidRDefault="00C36158" w:rsidP="00254EB0">
      <w:pPr>
        <w:jc w:val="both"/>
        <w:rPr>
          <w:rFonts w:cstheme="minorHAnsi"/>
          <w:sz w:val="24"/>
          <w:szCs w:val="24"/>
        </w:rPr>
      </w:pPr>
      <w:r w:rsidRPr="004963B7">
        <w:rPr>
          <w:rFonts w:cstheme="minorHAnsi"/>
          <w:sz w:val="24"/>
          <w:szCs w:val="24"/>
        </w:rPr>
        <w:t>Mis</w:t>
      </w:r>
      <w:r w:rsidR="006C5E3F" w:rsidRPr="004963B7">
        <w:rPr>
          <w:rFonts w:cstheme="minorHAnsi"/>
          <w:sz w:val="24"/>
          <w:szCs w:val="24"/>
        </w:rPr>
        <w:t>mo que a lo largo de este segundo año de</w:t>
      </w:r>
      <w:r w:rsidRPr="004963B7">
        <w:rPr>
          <w:rFonts w:cstheme="minorHAnsi"/>
          <w:sz w:val="24"/>
          <w:szCs w:val="24"/>
        </w:rPr>
        <w:t xml:space="preserve"> gobierno permitieron</w:t>
      </w:r>
      <w:r w:rsidR="006C5E3F" w:rsidRPr="004963B7">
        <w:rPr>
          <w:rFonts w:cstheme="minorHAnsi"/>
          <w:sz w:val="24"/>
          <w:szCs w:val="24"/>
        </w:rPr>
        <w:t xml:space="preserve"> continuar  en</w:t>
      </w:r>
      <w:r w:rsidRPr="004963B7">
        <w:rPr>
          <w:rFonts w:cstheme="minorHAnsi"/>
          <w:sz w:val="24"/>
          <w:szCs w:val="24"/>
        </w:rPr>
        <w:t xml:space="preserve"> la colaboración en el cobro de impuestos derechos y aprovechamientos que forman parte del ingreso propio global.    </w:t>
      </w:r>
    </w:p>
    <w:p w:rsidR="00254EB0" w:rsidRPr="004963B7" w:rsidRDefault="00C36158" w:rsidP="00254EB0">
      <w:pPr>
        <w:jc w:val="both"/>
        <w:rPr>
          <w:rFonts w:cstheme="minorHAnsi"/>
          <w:b/>
          <w:color w:val="8064A2" w:themeColor="accent4"/>
          <w:sz w:val="24"/>
          <w:szCs w:val="24"/>
        </w:rPr>
      </w:pPr>
      <w:r w:rsidRPr="004963B7">
        <w:rPr>
          <w:rFonts w:cstheme="minorHAnsi"/>
          <w:b/>
          <w:color w:val="8064A2" w:themeColor="accent4"/>
          <w:sz w:val="24"/>
          <w:szCs w:val="24"/>
        </w:rPr>
        <w:t xml:space="preserve">Fortalecimiento de </w:t>
      </w:r>
      <w:r w:rsidR="007448CC" w:rsidRPr="004963B7">
        <w:rPr>
          <w:rFonts w:cstheme="minorHAnsi"/>
          <w:b/>
          <w:color w:val="8064A2" w:themeColor="accent4"/>
          <w:sz w:val="24"/>
          <w:szCs w:val="24"/>
        </w:rPr>
        <w:t>la vinculación</w:t>
      </w:r>
      <w:r w:rsidR="00254EB0" w:rsidRPr="004963B7">
        <w:rPr>
          <w:rFonts w:cstheme="minorHAnsi"/>
          <w:b/>
          <w:color w:val="8064A2" w:themeColor="accent4"/>
          <w:sz w:val="24"/>
          <w:szCs w:val="24"/>
        </w:rPr>
        <w:t xml:space="preserve"> interdepartamental de la Administración Pública Municipal mediante la actualización del sistema de concentración informática y mecanismos logísticos, con la finalidad de ampliar el padrón de recaudación local de los contribuyentes y el aumento de éstos.</w:t>
      </w:r>
    </w:p>
    <w:p w:rsidR="000E0C19" w:rsidRPr="004963B7" w:rsidRDefault="00211B28" w:rsidP="00254EB0">
      <w:pPr>
        <w:jc w:val="both"/>
        <w:rPr>
          <w:rFonts w:cstheme="minorHAnsi"/>
          <w:b/>
          <w:color w:val="8064A2" w:themeColor="accent4"/>
          <w:sz w:val="24"/>
          <w:szCs w:val="24"/>
        </w:rPr>
      </w:pPr>
      <w:r w:rsidRPr="004963B7">
        <w:rPr>
          <w:noProof/>
          <w:sz w:val="24"/>
          <w:szCs w:val="24"/>
          <w:lang w:eastAsia="es-MX"/>
        </w:rPr>
        <mc:AlternateContent>
          <mc:Choice Requires="wps">
            <w:drawing>
              <wp:anchor distT="0" distB="0" distL="114300" distR="114300" simplePos="0" relativeHeight="251649536" behindDoc="0" locked="0" layoutInCell="1" allowOverlap="1" wp14:anchorId="2C0F0D6B" wp14:editId="588296C4">
                <wp:simplePos x="0" y="0"/>
                <wp:positionH relativeFrom="column">
                  <wp:posOffset>-1922221</wp:posOffset>
                </wp:positionH>
                <wp:positionV relativeFrom="paragraph">
                  <wp:posOffset>780821</wp:posOffset>
                </wp:positionV>
                <wp:extent cx="790042" cy="321869"/>
                <wp:effectExtent l="0" t="0" r="0" b="2540"/>
                <wp:wrapNone/>
                <wp:docPr id="10" name="Cuadro de texto 10"/>
                <wp:cNvGraphicFramePr/>
                <a:graphic xmlns:a="http://schemas.openxmlformats.org/drawingml/2006/main">
                  <a:graphicData uri="http://schemas.microsoft.com/office/word/2010/wordprocessingShape">
                    <wps:wsp>
                      <wps:cNvSpPr txBox="1"/>
                      <wps:spPr>
                        <a:xfrm>
                          <a:off x="0" y="0"/>
                          <a:ext cx="790042" cy="3218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1B28" w:rsidRDefault="00211B28" w:rsidP="00211B28">
                            <w:r>
                              <w:t>SICAGEM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75F427" id="Cuadro de texto 10" o:spid="_x0000_s1027" type="#_x0000_t202" style="position:absolute;left:0;text-align:left;margin-left:-151.35pt;margin-top:61.5pt;width:62.2pt;height:2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" filled="f" stroked="f" strokeweight=".5pt">
                <v:textbox>
                  <w:txbxContent>
                    <w:p w:rsidR="00211B28" w:rsidRDefault="00211B28" w:rsidP="00211B28">
                      <w:r>
                        <w:t>SICAGEM</w:t>
                      </w:r>
                    </w:p>
                  </w:txbxContent>
                </v:textbox>
              </v:shape>
            </w:pict>
          </mc:Fallback>
        </mc:AlternateContent>
      </w:r>
      <w:r w:rsidR="001606F2" w:rsidRPr="004963B7">
        <w:rPr>
          <w:rFonts w:cstheme="minorHAnsi"/>
          <w:sz w:val="24"/>
          <w:szCs w:val="24"/>
        </w:rPr>
        <w:t>El sist</w:t>
      </w:r>
      <w:r w:rsidR="00C36158" w:rsidRPr="004963B7">
        <w:rPr>
          <w:rFonts w:cstheme="minorHAnsi"/>
          <w:sz w:val="24"/>
          <w:szCs w:val="24"/>
        </w:rPr>
        <w:t xml:space="preserve">ema EMPRESS, que actualmente se utiliza como herramienta para mantener los controles contables y </w:t>
      </w:r>
      <w:r w:rsidR="003A0269" w:rsidRPr="004963B7">
        <w:rPr>
          <w:rFonts w:cstheme="minorHAnsi"/>
          <w:sz w:val="24"/>
          <w:szCs w:val="24"/>
        </w:rPr>
        <w:t xml:space="preserve">el </w:t>
      </w:r>
      <w:r w:rsidR="004E091D" w:rsidRPr="001B27AF">
        <w:rPr>
          <w:rFonts w:cstheme="minorHAnsi"/>
          <w:sz w:val="24"/>
          <w:szCs w:val="24"/>
        </w:rPr>
        <w:t>cumplimiento</w:t>
      </w:r>
      <w:r w:rsidR="004E091D" w:rsidRPr="004963B7">
        <w:rPr>
          <w:rFonts w:cstheme="minorHAnsi"/>
          <w:sz w:val="24"/>
          <w:szCs w:val="24"/>
        </w:rPr>
        <w:t xml:space="preserve"> con la Ley de C</w:t>
      </w:r>
      <w:r w:rsidR="00C36158" w:rsidRPr="004963B7">
        <w:rPr>
          <w:rFonts w:cstheme="minorHAnsi"/>
          <w:sz w:val="24"/>
          <w:szCs w:val="24"/>
        </w:rPr>
        <w:t>ontabilidad Gubernamental</w:t>
      </w:r>
      <w:r w:rsidR="001606F2" w:rsidRPr="004963B7">
        <w:rPr>
          <w:rFonts w:cstheme="minorHAnsi"/>
          <w:sz w:val="24"/>
          <w:szCs w:val="24"/>
        </w:rPr>
        <w:t xml:space="preserve">, </w:t>
      </w:r>
      <w:r w:rsidR="003A0269" w:rsidRPr="004963B7">
        <w:rPr>
          <w:rFonts w:cstheme="minorHAnsi"/>
          <w:sz w:val="24"/>
          <w:szCs w:val="24"/>
        </w:rPr>
        <w:t xml:space="preserve">durante el presente </w:t>
      </w:r>
      <w:r w:rsidR="006C5E3F" w:rsidRPr="004963B7">
        <w:rPr>
          <w:rFonts w:cstheme="minorHAnsi"/>
          <w:sz w:val="24"/>
          <w:szCs w:val="24"/>
        </w:rPr>
        <w:t>año 2020</w:t>
      </w:r>
      <w:r w:rsidR="007448CC" w:rsidRPr="004963B7">
        <w:rPr>
          <w:rFonts w:cstheme="minorHAnsi"/>
          <w:sz w:val="24"/>
          <w:szCs w:val="24"/>
        </w:rPr>
        <w:t>, a través del área de I</w:t>
      </w:r>
      <w:r w:rsidR="003A0269" w:rsidRPr="004963B7">
        <w:rPr>
          <w:rFonts w:cstheme="minorHAnsi"/>
          <w:sz w:val="24"/>
          <w:szCs w:val="24"/>
        </w:rPr>
        <w:t xml:space="preserve">ngresos fortaleció </w:t>
      </w:r>
      <w:r w:rsidR="001606F2" w:rsidRPr="004963B7">
        <w:rPr>
          <w:rFonts w:cstheme="minorHAnsi"/>
          <w:sz w:val="24"/>
          <w:szCs w:val="24"/>
        </w:rPr>
        <w:t>los vínculos para la generación de pagos y adeudos de los contribuyentes</w:t>
      </w:r>
      <w:r w:rsidR="007448CC" w:rsidRPr="004963B7">
        <w:rPr>
          <w:rFonts w:cstheme="minorHAnsi"/>
          <w:sz w:val="24"/>
          <w:szCs w:val="24"/>
        </w:rPr>
        <w:t>,</w:t>
      </w:r>
      <w:r w:rsidR="003A0269" w:rsidRPr="004963B7">
        <w:rPr>
          <w:rFonts w:cstheme="minorHAnsi"/>
          <w:sz w:val="24"/>
          <w:szCs w:val="24"/>
        </w:rPr>
        <w:t xml:space="preserve"> así como </w:t>
      </w:r>
      <w:r w:rsidR="00102F4B" w:rsidRPr="004963B7">
        <w:rPr>
          <w:rFonts w:cstheme="minorHAnsi"/>
          <w:sz w:val="24"/>
          <w:szCs w:val="24"/>
        </w:rPr>
        <w:t>la implementación de una comunicación co</w:t>
      </w:r>
      <w:r w:rsidR="003A0269" w:rsidRPr="004963B7">
        <w:rPr>
          <w:rFonts w:cstheme="minorHAnsi"/>
          <w:sz w:val="24"/>
          <w:szCs w:val="24"/>
        </w:rPr>
        <w:t xml:space="preserve">n el sistema SICAGEM que ha permitido </w:t>
      </w:r>
      <w:r w:rsidR="00102F4B" w:rsidRPr="004963B7">
        <w:rPr>
          <w:rFonts w:cstheme="minorHAnsi"/>
          <w:sz w:val="24"/>
          <w:szCs w:val="24"/>
        </w:rPr>
        <w:t>un enlace de información</w:t>
      </w:r>
      <w:r w:rsidR="007448CC" w:rsidRPr="004963B7">
        <w:rPr>
          <w:rFonts w:cstheme="minorHAnsi"/>
          <w:sz w:val="24"/>
          <w:szCs w:val="24"/>
        </w:rPr>
        <w:t>, alcanzando en este segundo</w:t>
      </w:r>
      <w:r w:rsidR="003A0269" w:rsidRPr="004963B7">
        <w:rPr>
          <w:rFonts w:cstheme="minorHAnsi"/>
          <w:sz w:val="24"/>
          <w:szCs w:val="24"/>
        </w:rPr>
        <w:t xml:space="preserve"> año de gobierno la meta de mejorar el vínculo interdepartamental para el mejoramiento en la recaudación de recursos propios. </w:t>
      </w:r>
    </w:p>
    <w:p w:rsidR="00211B28" w:rsidRDefault="003D4F46" w:rsidP="00254EB0">
      <w:pPr>
        <w:jc w:val="both"/>
        <w:rPr>
          <w:rFonts w:cstheme="minorHAnsi"/>
          <w:b/>
          <w:color w:val="8064A2" w:themeColor="accent4"/>
        </w:rPr>
      </w:pPr>
      <w:r>
        <w:rPr>
          <w:noProof/>
          <w:lang w:eastAsia="es-MX"/>
        </w:rPr>
        <w:drawing>
          <wp:anchor distT="0" distB="0" distL="114300" distR="114300" simplePos="0" relativeHeight="251658752" behindDoc="0" locked="0" layoutInCell="1" allowOverlap="1" wp14:anchorId="338D132A" wp14:editId="4624F4A5">
            <wp:simplePos x="0" y="0"/>
            <wp:positionH relativeFrom="column">
              <wp:posOffset>3642553</wp:posOffset>
            </wp:positionH>
            <wp:positionV relativeFrom="paragraph">
              <wp:posOffset>153670</wp:posOffset>
            </wp:positionV>
            <wp:extent cx="1709420" cy="753745"/>
            <wp:effectExtent l="0" t="0" r="5080" b="825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1316" t="44856" r="32419" b="26664"/>
                    <a:stretch/>
                  </pic:blipFill>
                  <pic:spPr bwMode="auto">
                    <a:xfrm>
                      <a:off x="0" y="0"/>
                      <a:ext cx="1709420" cy="75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896" behindDoc="0" locked="0" layoutInCell="1" allowOverlap="1" wp14:anchorId="7EF9BD63" wp14:editId="4DE36877">
            <wp:simplePos x="0" y="0"/>
            <wp:positionH relativeFrom="column">
              <wp:posOffset>72280</wp:posOffset>
            </wp:positionH>
            <wp:positionV relativeFrom="paragraph">
              <wp:posOffset>161290</wp:posOffset>
            </wp:positionV>
            <wp:extent cx="2242185" cy="778510"/>
            <wp:effectExtent l="0" t="0" r="5715" b="254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425" t="10584" r="85688" b="82612"/>
                    <a:stretch/>
                  </pic:blipFill>
                  <pic:spPr bwMode="auto">
                    <a:xfrm>
                      <a:off x="0" y="0"/>
                      <a:ext cx="2242185" cy="77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3D4F46" w:rsidRPr="008D010A" w:rsidRDefault="003D4F46" w:rsidP="00254EB0">
      <w:pPr>
        <w:jc w:val="both"/>
        <w:rPr>
          <w:rFonts w:cstheme="minorHAnsi"/>
          <w:b/>
          <w:color w:val="8064A2" w:themeColor="accent4"/>
        </w:rPr>
      </w:pPr>
      <w:r>
        <w:rPr>
          <w:rFonts w:cstheme="minorHAnsi"/>
          <w:b/>
          <w:noProof/>
          <w:color w:val="8064A2" w:themeColor="accent4"/>
          <w:lang w:eastAsia="es-MX"/>
        </w:rPr>
        <mc:AlternateContent>
          <mc:Choice Requires="wps">
            <w:drawing>
              <wp:anchor distT="0" distB="0" distL="114300" distR="114300" simplePos="0" relativeHeight="251673088" behindDoc="0" locked="0" layoutInCell="1" allowOverlap="1">
                <wp:simplePos x="0" y="0"/>
                <wp:positionH relativeFrom="column">
                  <wp:posOffset>119656</wp:posOffset>
                </wp:positionH>
                <wp:positionV relativeFrom="paragraph">
                  <wp:posOffset>84980</wp:posOffset>
                </wp:positionV>
                <wp:extent cx="747395" cy="262255"/>
                <wp:effectExtent l="0" t="0" r="14605" b="23495"/>
                <wp:wrapNone/>
                <wp:docPr id="13" name="Flecha izquierda y derecha 13"/>
                <wp:cNvGraphicFramePr/>
                <a:graphic xmlns:a="http://schemas.openxmlformats.org/drawingml/2006/main">
                  <a:graphicData uri="http://schemas.microsoft.com/office/word/2010/wordprocessingShape">
                    <wps:wsp>
                      <wps:cNvSpPr/>
                      <wps:spPr>
                        <a:xfrm>
                          <a:off x="0" y="0"/>
                          <a:ext cx="747395" cy="262255"/>
                        </a:xfrm>
                        <a:prstGeom prst="leftRightArrow">
                          <a:avLst>
                            <a:gd name="adj1" fmla="val 50000"/>
                            <a:gd name="adj2" fmla="val 71223"/>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51FAA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3" o:spid="_x0000_s1026" type="#_x0000_t69" style="position:absolute;margin-left:9.4pt;margin-top:6.7pt;width:58.85pt;height:20.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" adj="5398" fillcolor="#8064a2 [3207]" strokecolor="#3f3151 [1607]" strokeweight="2pt"/>
            </w:pict>
          </mc:Fallback>
        </mc:AlternateContent>
      </w:r>
    </w:p>
    <w:p w:rsidR="00D57DE6" w:rsidRDefault="00D57DE6" w:rsidP="00254EB0">
      <w:pPr>
        <w:jc w:val="both"/>
        <w:rPr>
          <w:rFonts w:cstheme="minorHAnsi"/>
          <w:b/>
          <w:color w:val="8064A2" w:themeColor="accent4"/>
        </w:rPr>
      </w:pPr>
    </w:p>
    <w:p w:rsidR="00D57DE6" w:rsidRDefault="00D57DE6" w:rsidP="00254EB0">
      <w:pPr>
        <w:jc w:val="both"/>
        <w:rPr>
          <w:rFonts w:cstheme="minorHAnsi"/>
          <w:b/>
          <w:color w:val="8064A2" w:themeColor="accent4"/>
        </w:rPr>
      </w:pPr>
    </w:p>
    <w:p w:rsidR="00254EB0" w:rsidRPr="001B27AF" w:rsidRDefault="003A0269" w:rsidP="00254EB0">
      <w:pPr>
        <w:jc w:val="both"/>
        <w:rPr>
          <w:rFonts w:cstheme="minorHAnsi"/>
          <w:b/>
          <w:color w:val="8064A2" w:themeColor="accent4"/>
          <w:sz w:val="24"/>
          <w:szCs w:val="24"/>
        </w:rPr>
      </w:pPr>
      <w:r w:rsidRPr="001B27AF">
        <w:rPr>
          <w:rFonts w:cstheme="minorHAnsi"/>
          <w:b/>
          <w:color w:val="8064A2" w:themeColor="accent4"/>
          <w:sz w:val="24"/>
          <w:szCs w:val="24"/>
        </w:rPr>
        <w:t>Gestiones para el fortalecimiento de</w:t>
      </w:r>
      <w:r w:rsidR="00254EB0" w:rsidRPr="001B27AF">
        <w:rPr>
          <w:rFonts w:cstheme="minorHAnsi"/>
          <w:b/>
          <w:color w:val="8064A2" w:themeColor="accent4"/>
          <w:sz w:val="24"/>
          <w:szCs w:val="24"/>
        </w:rPr>
        <w:t xml:space="preserve"> participaciones federales </w:t>
      </w:r>
      <w:r w:rsidRPr="001B27AF">
        <w:rPr>
          <w:rFonts w:cstheme="minorHAnsi"/>
          <w:b/>
          <w:color w:val="8064A2" w:themeColor="accent4"/>
          <w:sz w:val="24"/>
          <w:szCs w:val="24"/>
        </w:rPr>
        <w:t xml:space="preserve">para mejorar </w:t>
      </w:r>
      <w:r w:rsidR="00254EB0" w:rsidRPr="001B27AF">
        <w:rPr>
          <w:rFonts w:cstheme="minorHAnsi"/>
          <w:b/>
          <w:color w:val="8064A2" w:themeColor="accent4"/>
          <w:sz w:val="24"/>
          <w:szCs w:val="24"/>
        </w:rPr>
        <w:t xml:space="preserve">los ingresos públicos municipales. </w:t>
      </w:r>
    </w:p>
    <w:p w:rsidR="000E0C19" w:rsidRPr="001B27AF" w:rsidRDefault="003A0269" w:rsidP="00254EB0">
      <w:pPr>
        <w:jc w:val="both"/>
        <w:rPr>
          <w:rFonts w:cstheme="minorHAnsi"/>
          <w:sz w:val="24"/>
          <w:szCs w:val="24"/>
        </w:rPr>
      </w:pPr>
      <w:r w:rsidRPr="001B27AF">
        <w:rPr>
          <w:rFonts w:cstheme="minorHAnsi"/>
          <w:sz w:val="24"/>
          <w:szCs w:val="24"/>
        </w:rPr>
        <w:t>En esta línea de acción, menciono a la ciudadanía, que como consecuencia del mejoramiento d</w:t>
      </w:r>
      <w:r w:rsidR="00102F4B" w:rsidRPr="001B27AF">
        <w:rPr>
          <w:rFonts w:cstheme="minorHAnsi"/>
          <w:sz w:val="24"/>
          <w:szCs w:val="24"/>
        </w:rPr>
        <w:t>e los ingresos propios</w:t>
      </w:r>
      <w:r w:rsidR="00456316" w:rsidRPr="001B27AF">
        <w:rPr>
          <w:rFonts w:cstheme="minorHAnsi"/>
          <w:sz w:val="24"/>
          <w:szCs w:val="24"/>
        </w:rPr>
        <w:t xml:space="preserve"> a través</w:t>
      </w:r>
      <w:r w:rsidR="00102F4B" w:rsidRPr="001B27AF">
        <w:rPr>
          <w:rFonts w:cstheme="minorHAnsi"/>
          <w:sz w:val="24"/>
          <w:szCs w:val="24"/>
        </w:rPr>
        <w:t xml:space="preserve"> del incremento </w:t>
      </w:r>
      <w:r w:rsidRPr="001B27AF">
        <w:rPr>
          <w:rFonts w:cstheme="minorHAnsi"/>
          <w:sz w:val="24"/>
          <w:szCs w:val="24"/>
        </w:rPr>
        <w:t>en los rubros de</w:t>
      </w:r>
      <w:r w:rsidR="00102F4B" w:rsidRPr="001B27AF">
        <w:rPr>
          <w:rFonts w:cstheme="minorHAnsi"/>
          <w:sz w:val="24"/>
          <w:szCs w:val="24"/>
        </w:rPr>
        <w:t xml:space="preserve"> impuestos y derechos</w:t>
      </w:r>
      <w:r w:rsidRPr="001B27AF">
        <w:rPr>
          <w:rFonts w:cstheme="minorHAnsi"/>
          <w:sz w:val="24"/>
          <w:szCs w:val="24"/>
        </w:rPr>
        <w:t>,</w:t>
      </w:r>
      <w:r w:rsidR="00102F4B" w:rsidRPr="001B27AF">
        <w:rPr>
          <w:rFonts w:cstheme="minorHAnsi"/>
          <w:sz w:val="24"/>
          <w:szCs w:val="24"/>
        </w:rPr>
        <w:t xml:space="preserve"> </w:t>
      </w:r>
      <w:r w:rsidRPr="001B27AF">
        <w:rPr>
          <w:rFonts w:cstheme="minorHAnsi"/>
          <w:sz w:val="24"/>
          <w:szCs w:val="24"/>
        </w:rPr>
        <w:t xml:space="preserve">el municipio de Zapotlán el Grande </w:t>
      </w:r>
      <w:r w:rsidR="003D3F36">
        <w:rPr>
          <w:rFonts w:cstheme="minorHAnsi"/>
          <w:sz w:val="24"/>
          <w:szCs w:val="24"/>
        </w:rPr>
        <w:t>sostuvo</w:t>
      </w:r>
      <w:r w:rsidR="00E4170E" w:rsidRPr="001B27AF">
        <w:rPr>
          <w:rFonts w:cstheme="minorHAnsi"/>
          <w:sz w:val="24"/>
          <w:szCs w:val="24"/>
        </w:rPr>
        <w:t xml:space="preserve"> un </w:t>
      </w:r>
      <w:r w:rsidR="00102F4B" w:rsidRPr="001B27AF">
        <w:rPr>
          <w:rFonts w:cstheme="minorHAnsi"/>
          <w:sz w:val="24"/>
          <w:szCs w:val="24"/>
        </w:rPr>
        <w:t xml:space="preserve">incremento </w:t>
      </w:r>
      <w:r w:rsidR="00DF33AC" w:rsidRPr="001B27AF">
        <w:rPr>
          <w:rFonts w:cstheme="minorHAnsi"/>
          <w:sz w:val="24"/>
          <w:szCs w:val="24"/>
        </w:rPr>
        <w:t xml:space="preserve">del </w:t>
      </w:r>
      <w:r w:rsidR="003D3F36">
        <w:rPr>
          <w:rFonts w:cstheme="minorHAnsi"/>
          <w:sz w:val="24"/>
          <w:szCs w:val="24"/>
        </w:rPr>
        <w:t>2.27</w:t>
      </w:r>
      <w:r w:rsidR="00B1542B">
        <w:rPr>
          <w:rFonts w:cstheme="minorHAnsi"/>
          <w:sz w:val="24"/>
          <w:szCs w:val="24"/>
        </w:rPr>
        <w:t xml:space="preserve"> por ciento</w:t>
      </w:r>
      <w:r w:rsidR="003E36B6" w:rsidRPr="001B27AF">
        <w:rPr>
          <w:rFonts w:cstheme="minorHAnsi"/>
          <w:b/>
          <w:color w:val="FF0000"/>
          <w:sz w:val="24"/>
          <w:szCs w:val="24"/>
        </w:rPr>
        <w:t xml:space="preserve"> </w:t>
      </w:r>
      <w:r w:rsidR="00102F4B" w:rsidRPr="001B27AF">
        <w:rPr>
          <w:rFonts w:cstheme="minorHAnsi"/>
          <w:sz w:val="24"/>
          <w:szCs w:val="24"/>
        </w:rPr>
        <w:t>en participaciones federales</w:t>
      </w:r>
      <w:r w:rsidR="00E4170E" w:rsidRPr="001B27AF">
        <w:rPr>
          <w:rFonts w:cstheme="minorHAnsi"/>
          <w:sz w:val="24"/>
          <w:szCs w:val="24"/>
        </w:rPr>
        <w:t xml:space="preserve"> que se vio ref</w:t>
      </w:r>
      <w:r w:rsidR="006C5E3F" w:rsidRPr="001B27AF">
        <w:rPr>
          <w:rFonts w:cstheme="minorHAnsi"/>
          <w:sz w:val="24"/>
          <w:szCs w:val="24"/>
        </w:rPr>
        <w:t>lejada en el ingreso global 2020</w:t>
      </w:r>
      <w:r w:rsidR="00102F4B" w:rsidRPr="001B27AF">
        <w:rPr>
          <w:rFonts w:cstheme="minorHAnsi"/>
          <w:sz w:val="24"/>
          <w:szCs w:val="24"/>
        </w:rPr>
        <w:t>.</w:t>
      </w:r>
      <w:r w:rsidR="00E4170E" w:rsidRPr="001B27AF">
        <w:rPr>
          <w:rFonts w:cstheme="minorHAnsi"/>
          <w:sz w:val="24"/>
          <w:szCs w:val="24"/>
        </w:rPr>
        <w:t xml:space="preserve"> En esa </w:t>
      </w:r>
      <w:r w:rsidR="00E4170E" w:rsidRPr="001B27AF">
        <w:rPr>
          <w:rFonts w:cstheme="minorHAnsi"/>
          <w:sz w:val="24"/>
          <w:szCs w:val="24"/>
        </w:rPr>
        <w:lastRenderedPageBreak/>
        <w:t>dinámic</w:t>
      </w:r>
      <w:r w:rsidR="007448CC" w:rsidRPr="001B27AF">
        <w:rPr>
          <w:rFonts w:cstheme="minorHAnsi"/>
          <w:sz w:val="24"/>
          <w:szCs w:val="24"/>
        </w:rPr>
        <w:t>a se</w:t>
      </w:r>
      <w:r w:rsidR="007A35E8">
        <w:rPr>
          <w:rFonts w:cstheme="minorHAnsi"/>
          <w:sz w:val="24"/>
          <w:szCs w:val="24"/>
        </w:rPr>
        <w:t xml:space="preserve"> tiene considerado el fondo de estabilización de los ingresos de las entidades federativas (FEIEF), mismo que tiene como finalidad compensar la disminución de las participaciones vinculadas con la recaudación federal participable</w:t>
      </w:r>
      <w:r w:rsidR="009F191A">
        <w:rPr>
          <w:rFonts w:cstheme="minorHAnsi"/>
          <w:sz w:val="24"/>
          <w:szCs w:val="24"/>
        </w:rPr>
        <w:t>.</w:t>
      </w:r>
      <w:r w:rsidR="007448CC" w:rsidRPr="001B27AF">
        <w:rPr>
          <w:rFonts w:cstheme="minorHAnsi"/>
          <w:sz w:val="24"/>
          <w:szCs w:val="24"/>
        </w:rPr>
        <w:t xml:space="preserve"> </w:t>
      </w:r>
    </w:p>
    <w:p w:rsidR="00DF33AC" w:rsidRDefault="009F191A" w:rsidP="00254EB0">
      <w:pPr>
        <w:jc w:val="both"/>
        <w:rPr>
          <w:rFonts w:cstheme="minorHAnsi"/>
        </w:rPr>
      </w:pPr>
      <w:r>
        <w:rPr>
          <w:rFonts w:cstheme="minorHAnsi"/>
          <w:noProof/>
          <w:lang w:eastAsia="es-MX"/>
        </w:rPr>
        <w:drawing>
          <wp:anchor distT="0" distB="0" distL="114300" distR="114300" simplePos="0" relativeHeight="251683328" behindDoc="1" locked="0" layoutInCell="1" allowOverlap="1" wp14:anchorId="46AFC36F" wp14:editId="5FE95B8E">
            <wp:simplePos x="0" y="0"/>
            <wp:positionH relativeFrom="column">
              <wp:posOffset>960755</wp:posOffset>
            </wp:positionH>
            <wp:positionV relativeFrom="paragraph">
              <wp:posOffset>116840</wp:posOffset>
            </wp:positionV>
            <wp:extent cx="3689350" cy="2665095"/>
            <wp:effectExtent l="0" t="0" r="6350" b="1905"/>
            <wp:wrapTight wrapText="bothSides">
              <wp:wrapPolygon edited="0">
                <wp:start x="0" y="0"/>
                <wp:lineTo x="0" y="21461"/>
                <wp:lineTo x="21526" y="21461"/>
                <wp:lineTo x="2152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A 2.jpg"/>
                    <pic:cNvPicPr/>
                  </pic:nvPicPr>
                  <pic:blipFill rotWithShape="1">
                    <a:blip r:embed="rId18" cstate="print">
                      <a:extLst>
                        <a:ext uri="{28A0092B-C50C-407E-A947-70E740481C1C}">
                          <a14:useLocalDpi xmlns:a14="http://schemas.microsoft.com/office/drawing/2010/main" val="0"/>
                        </a:ext>
                      </a:extLst>
                    </a:blip>
                    <a:srcRect b="6791"/>
                    <a:stretch/>
                  </pic:blipFill>
                  <pic:spPr bwMode="auto">
                    <a:xfrm>
                      <a:off x="0" y="0"/>
                      <a:ext cx="3689350" cy="2665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761F" w:rsidRDefault="00F8761F" w:rsidP="00994965">
      <w:pPr>
        <w:jc w:val="center"/>
        <w:rPr>
          <w:rFonts w:cstheme="minorHAnsi"/>
        </w:rPr>
      </w:pPr>
    </w:p>
    <w:p w:rsidR="009F191A" w:rsidRDefault="009F191A" w:rsidP="00254EB0">
      <w:pPr>
        <w:jc w:val="both"/>
        <w:rPr>
          <w:rFonts w:cstheme="minorHAnsi"/>
          <w:b/>
          <w:color w:val="8064A2" w:themeColor="accent4"/>
        </w:rPr>
      </w:pPr>
    </w:p>
    <w:p w:rsidR="009F191A" w:rsidRDefault="009F191A" w:rsidP="00254EB0">
      <w:pPr>
        <w:jc w:val="both"/>
        <w:rPr>
          <w:rFonts w:cstheme="minorHAnsi"/>
          <w:b/>
          <w:color w:val="8064A2" w:themeColor="accent4"/>
        </w:rPr>
      </w:pPr>
    </w:p>
    <w:p w:rsidR="009F191A" w:rsidRDefault="009F191A" w:rsidP="00254EB0">
      <w:pPr>
        <w:jc w:val="both"/>
        <w:rPr>
          <w:rFonts w:cstheme="minorHAnsi"/>
          <w:b/>
          <w:color w:val="8064A2" w:themeColor="accent4"/>
        </w:rPr>
      </w:pPr>
    </w:p>
    <w:p w:rsidR="009F191A" w:rsidRDefault="009F191A" w:rsidP="00254EB0">
      <w:pPr>
        <w:jc w:val="both"/>
        <w:rPr>
          <w:rFonts w:cstheme="minorHAnsi"/>
          <w:b/>
          <w:color w:val="8064A2" w:themeColor="accent4"/>
        </w:rPr>
      </w:pPr>
    </w:p>
    <w:p w:rsidR="009F191A" w:rsidRDefault="009F191A" w:rsidP="00254EB0">
      <w:pPr>
        <w:jc w:val="both"/>
        <w:rPr>
          <w:rFonts w:cstheme="minorHAnsi"/>
          <w:b/>
          <w:color w:val="8064A2" w:themeColor="accent4"/>
        </w:rPr>
      </w:pPr>
    </w:p>
    <w:p w:rsidR="009F191A" w:rsidRDefault="009F191A" w:rsidP="00254EB0">
      <w:pPr>
        <w:jc w:val="both"/>
        <w:rPr>
          <w:rFonts w:cstheme="minorHAnsi"/>
          <w:b/>
          <w:color w:val="8064A2" w:themeColor="accent4"/>
        </w:rPr>
      </w:pPr>
    </w:p>
    <w:p w:rsidR="009F191A" w:rsidRDefault="009F191A" w:rsidP="00254EB0">
      <w:pPr>
        <w:jc w:val="both"/>
        <w:rPr>
          <w:rFonts w:cstheme="minorHAnsi"/>
          <w:b/>
          <w:color w:val="8064A2" w:themeColor="accent4"/>
        </w:rPr>
      </w:pPr>
    </w:p>
    <w:p w:rsidR="008B633D" w:rsidRDefault="008B633D" w:rsidP="00254EB0">
      <w:pPr>
        <w:jc w:val="both"/>
        <w:rPr>
          <w:rFonts w:cstheme="minorHAnsi"/>
          <w:b/>
          <w:color w:val="8064A2" w:themeColor="accent4"/>
        </w:rPr>
      </w:pPr>
    </w:p>
    <w:p w:rsidR="00254EB0" w:rsidRPr="00B1542B" w:rsidRDefault="007448CC" w:rsidP="00254EB0">
      <w:pPr>
        <w:jc w:val="both"/>
        <w:rPr>
          <w:rFonts w:cstheme="minorHAnsi"/>
          <w:b/>
          <w:color w:val="8064A2" w:themeColor="accent4"/>
          <w:sz w:val="24"/>
          <w:szCs w:val="24"/>
        </w:rPr>
      </w:pPr>
      <w:r w:rsidRPr="00B1542B">
        <w:rPr>
          <w:rFonts w:cstheme="minorHAnsi"/>
          <w:b/>
          <w:color w:val="8064A2" w:themeColor="accent4"/>
          <w:sz w:val="24"/>
          <w:szCs w:val="24"/>
        </w:rPr>
        <w:t xml:space="preserve">Incorporación de </w:t>
      </w:r>
      <w:r w:rsidR="00254EB0" w:rsidRPr="00B1542B">
        <w:rPr>
          <w:rFonts w:cstheme="minorHAnsi"/>
          <w:b/>
          <w:color w:val="8064A2" w:themeColor="accent4"/>
          <w:sz w:val="24"/>
          <w:szCs w:val="24"/>
        </w:rPr>
        <w:t>criterios de eficiencia, racionalidad y transparencia, mediante la implementación de esquemas financieros alternativos a programas y proyectos que permitan una mejor captación y negociación en la recuperación del rezago.</w:t>
      </w:r>
    </w:p>
    <w:p w:rsidR="000E0C19" w:rsidRPr="00B1542B" w:rsidRDefault="007448CC" w:rsidP="00254EB0">
      <w:pPr>
        <w:jc w:val="both"/>
        <w:rPr>
          <w:rFonts w:cstheme="minorHAnsi"/>
          <w:sz w:val="24"/>
          <w:szCs w:val="24"/>
        </w:rPr>
      </w:pPr>
      <w:r w:rsidRPr="00B1542B">
        <w:rPr>
          <w:rFonts w:cstheme="minorHAnsi"/>
          <w:sz w:val="24"/>
          <w:szCs w:val="24"/>
        </w:rPr>
        <w:t>Durante este segundo</w:t>
      </w:r>
      <w:r w:rsidR="00EE2E47" w:rsidRPr="00B1542B">
        <w:rPr>
          <w:rFonts w:cstheme="minorHAnsi"/>
          <w:sz w:val="24"/>
          <w:szCs w:val="24"/>
        </w:rPr>
        <w:t xml:space="preserve"> año de gobierno </w:t>
      </w:r>
      <w:r w:rsidR="00E4170E" w:rsidRPr="00B1542B">
        <w:rPr>
          <w:rFonts w:cstheme="minorHAnsi"/>
          <w:sz w:val="24"/>
          <w:szCs w:val="24"/>
        </w:rPr>
        <w:t xml:space="preserve">se ha implementado una campaña de invitación y citación </w:t>
      </w:r>
      <w:r w:rsidR="004F4AE6" w:rsidRPr="00B1542B">
        <w:rPr>
          <w:rFonts w:cstheme="minorHAnsi"/>
          <w:sz w:val="24"/>
          <w:szCs w:val="24"/>
        </w:rPr>
        <w:t xml:space="preserve">sin </w:t>
      </w:r>
      <w:r w:rsidR="00E4170E" w:rsidRPr="00B1542B">
        <w:rPr>
          <w:rFonts w:cstheme="minorHAnsi"/>
          <w:sz w:val="24"/>
          <w:szCs w:val="24"/>
        </w:rPr>
        <w:t xml:space="preserve">la aplicación de cobro </w:t>
      </w:r>
      <w:r w:rsidR="004F4AE6" w:rsidRPr="00B1542B">
        <w:rPr>
          <w:rFonts w:cstheme="minorHAnsi"/>
          <w:sz w:val="24"/>
          <w:szCs w:val="24"/>
        </w:rPr>
        <w:t>coactivo</w:t>
      </w:r>
      <w:r w:rsidR="00E4170E" w:rsidRPr="00B1542B">
        <w:rPr>
          <w:rFonts w:cstheme="minorHAnsi"/>
          <w:sz w:val="24"/>
          <w:szCs w:val="24"/>
        </w:rPr>
        <w:t xml:space="preserve"> para la regularización de adeudos</w:t>
      </w:r>
      <w:r w:rsidR="004F4AE6" w:rsidRPr="00B1542B">
        <w:rPr>
          <w:rFonts w:cstheme="minorHAnsi"/>
          <w:sz w:val="24"/>
          <w:szCs w:val="24"/>
        </w:rPr>
        <w:t xml:space="preserve">, </w:t>
      </w:r>
      <w:r w:rsidR="00E4170E" w:rsidRPr="00B1542B">
        <w:rPr>
          <w:rFonts w:cstheme="minorHAnsi"/>
          <w:sz w:val="24"/>
          <w:szCs w:val="24"/>
        </w:rPr>
        <w:t>buscando</w:t>
      </w:r>
      <w:r w:rsidR="004F4AE6" w:rsidRPr="00B1542B">
        <w:rPr>
          <w:rFonts w:cstheme="minorHAnsi"/>
          <w:sz w:val="24"/>
          <w:szCs w:val="24"/>
        </w:rPr>
        <w:t xml:space="preserve"> concientizar a la población a cumplir con sus obligaciones fiscales con el municipio.</w:t>
      </w:r>
      <w:r w:rsidR="00E4170E" w:rsidRPr="00B1542B">
        <w:rPr>
          <w:rFonts w:cstheme="minorHAnsi"/>
          <w:sz w:val="24"/>
          <w:szCs w:val="24"/>
        </w:rPr>
        <w:t xml:space="preserve"> Este esquema ha generado resultados en la recuperación de</w:t>
      </w:r>
      <w:r w:rsidR="00E4170E" w:rsidRPr="00B1542B">
        <w:rPr>
          <w:rFonts w:cstheme="minorHAnsi"/>
          <w:b/>
          <w:sz w:val="24"/>
          <w:szCs w:val="24"/>
        </w:rPr>
        <w:t xml:space="preserve"> </w:t>
      </w:r>
      <w:r w:rsidR="003B79F4" w:rsidRPr="00B1542B">
        <w:rPr>
          <w:rFonts w:cstheme="minorHAnsi"/>
          <w:sz w:val="24"/>
          <w:szCs w:val="24"/>
        </w:rPr>
        <w:t>$</w:t>
      </w:r>
      <w:r w:rsidR="003E36B6" w:rsidRPr="00B1542B">
        <w:rPr>
          <w:rFonts w:cstheme="minorHAnsi"/>
          <w:sz w:val="24"/>
          <w:szCs w:val="24"/>
        </w:rPr>
        <w:t>7´386,409.30</w:t>
      </w:r>
      <w:r w:rsidR="003B79F4" w:rsidRPr="00B1542B">
        <w:rPr>
          <w:rFonts w:cstheme="minorHAnsi"/>
          <w:b/>
          <w:sz w:val="24"/>
          <w:szCs w:val="24"/>
        </w:rPr>
        <w:t xml:space="preserve"> </w:t>
      </w:r>
      <w:r w:rsidR="003B79F4" w:rsidRPr="00B1542B">
        <w:rPr>
          <w:rFonts w:cstheme="minorHAnsi"/>
          <w:sz w:val="24"/>
          <w:szCs w:val="24"/>
        </w:rPr>
        <w:t>que vinieron a fortalecer las fina</w:t>
      </w:r>
      <w:r w:rsidR="003E36B6" w:rsidRPr="00B1542B">
        <w:rPr>
          <w:rFonts w:cstheme="minorHAnsi"/>
          <w:sz w:val="24"/>
          <w:szCs w:val="24"/>
        </w:rPr>
        <w:t>n</w:t>
      </w:r>
      <w:r w:rsidR="003B79F4" w:rsidRPr="00B1542B">
        <w:rPr>
          <w:rFonts w:cstheme="minorHAnsi"/>
          <w:sz w:val="24"/>
          <w:szCs w:val="24"/>
        </w:rPr>
        <w:t xml:space="preserve">zas municipales. </w:t>
      </w:r>
    </w:p>
    <w:p w:rsidR="008B633D" w:rsidRDefault="008B633D" w:rsidP="00254EB0">
      <w:pPr>
        <w:jc w:val="both"/>
        <w:rPr>
          <w:rFonts w:cstheme="minorHAnsi"/>
        </w:rPr>
      </w:pPr>
      <w:r w:rsidRPr="001D5D21">
        <w:rPr>
          <w:noProof/>
          <w:lang w:eastAsia="es-MX"/>
        </w:rPr>
        <w:drawing>
          <wp:anchor distT="0" distB="0" distL="114300" distR="114300" simplePos="0" relativeHeight="251684352" behindDoc="1" locked="0" layoutInCell="1" allowOverlap="1">
            <wp:simplePos x="0" y="0"/>
            <wp:positionH relativeFrom="column">
              <wp:posOffset>3810</wp:posOffset>
            </wp:positionH>
            <wp:positionV relativeFrom="paragraph">
              <wp:posOffset>100965</wp:posOffset>
            </wp:positionV>
            <wp:extent cx="5612130" cy="2377440"/>
            <wp:effectExtent l="0" t="0" r="7620" b="3810"/>
            <wp:wrapTight wrapText="bothSides">
              <wp:wrapPolygon edited="0">
                <wp:start x="0" y="0"/>
                <wp:lineTo x="0" y="21462"/>
                <wp:lineTo x="147" y="21462"/>
                <wp:lineTo x="5059" y="21288"/>
                <wp:lineTo x="21556" y="19904"/>
                <wp:lineTo x="21556" y="15231"/>
                <wp:lineTo x="10558" y="13846"/>
                <wp:lineTo x="21556" y="13673"/>
                <wp:lineTo x="21556" y="7096"/>
                <wp:lineTo x="15690" y="5538"/>
                <wp:lineTo x="17597" y="4500"/>
                <wp:lineTo x="17670" y="3635"/>
                <wp:lineTo x="16644" y="2769"/>
                <wp:lineTo x="21556" y="173"/>
                <wp:lineTo x="2155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2377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D21" w:rsidRDefault="001D5D21" w:rsidP="00254EB0">
      <w:pPr>
        <w:jc w:val="both"/>
        <w:rPr>
          <w:rFonts w:cstheme="minorHAnsi"/>
        </w:rPr>
      </w:pPr>
    </w:p>
    <w:p w:rsidR="001D5D21" w:rsidRPr="00FC2F44" w:rsidRDefault="001D5D21" w:rsidP="00254EB0">
      <w:pPr>
        <w:jc w:val="both"/>
        <w:rPr>
          <w:rFonts w:cstheme="minorHAnsi"/>
          <w:color w:val="FF0000"/>
        </w:rPr>
      </w:pPr>
    </w:p>
    <w:sectPr w:rsidR="001D5D21" w:rsidRPr="00FC2F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90" w:rsidRDefault="00294290" w:rsidP="007016AD">
      <w:pPr>
        <w:spacing w:after="0" w:line="240" w:lineRule="auto"/>
      </w:pPr>
      <w:r>
        <w:separator/>
      </w:r>
    </w:p>
  </w:endnote>
  <w:endnote w:type="continuationSeparator" w:id="0">
    <w:p w:rsidR="00294290" w:rsidRDefault="00294290" w:rsidP="0070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90" w:rsidRDefault="00294290" w:rsidP="007016AD">
      <w:pPr>
        <w:spacing w:after="0" w:line="240" w:lineRule="auto"/>
      </w:pPr>
      <w:r>
        <w:separator/>
      </w:r>
    </w:p>
  </w:footnote>
  <w:footnote w:type="continuationSeparator" w:id="0">
    <w:p w:rsidR="00294290" w:rsidRDefault="00294290" w:rsidP="00701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1402"/>
    <w:multiLevelType w:val="hybridMultilevel"/>
    <w:tmpl w:val="BDFE5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6A7993"/>
    <w:multiLevelType w:val="hybridMultilevel"/>
    <w:tmpl w:val="AF7233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B0"/>
    <w:rsid w:val="0001175F"/>
    <w:rsid w:val="0008036F"/>
    <w:rsid w:val="000A3B37"/>
    <w:rsid w:val="000A6462"/>
    <w:rsid w:val="000A7EB5"/>
    <w:rsid w:val="000B63BA"/>
    <w:rsid w:val="000C7754"/>
    <w:rsid w:val="000E0C19"/>
    <w:rsid w:val="000E6D64"/>
    <w:rsid w:val="000E76FE"/>
    <w:rsid w:val="00102F4B"/>
    <w:rsid w:val="00126117"/>
    <w:rsid w:val="00137E0A"/>
    <w:rsid w:val="00143EA6"/>
    <w:rsid w:val="001561A1"/>
    <w:rsid w:val="001606F2"/>
    <w:rsid w:val="001A2034"/>
    <w:rsid w:val="001B27AF"/>
    <w:rsid w:val="001B2BBB"/>
    <w:rsid w:val="001B5C27"/>
    <w:rsid w:val="001B72C2"/>
    <w:rsid w:val="001B731E"/>
    <w:rsid w:val="001D5D21"/>
    <w:rsid w:val="002036A4"/>
    <w:rsid w:val="00211B28"/>
    <w:rsid w:val="00236E50"/>
    <w:rsid w:val="002414E3"/>
    <w:rsid w:val="00246271"/>
    <w:rsid w:val="00254EB0"/>
    <w:rsid w:val="00256203"/>
    <w:rsid w:val="00261A0D"/>
    <w:rsid w:val="00294290"/>
    <w:rsid w:val="002B766E"/>
    <w:rsid w:val="002C55AB"/>
    <w:rsid w:val="002C57FA"/>
    <w:rsid w:val="002D14EB"/>
    <w:rsid w:val="002E0DDF"/>
    <w:rsid w:val="002F28A5"/>
    <w:rsid w:val="00332CD1"/>
    <w:rsid w:val="00341176"/>
    <w:rsid w:val="00345991"/>
    <w:rsid w:val="00393F61"/>
    <w:rsid w:val="00395281"/>
    <w:rsid w:val="003A0269"/>
    <w:rsid w:val="003B30E7"/>
    <w:rsid w:val="003B73AB"/>
    <w:rsid w:val="003B79F4"/>
    <w:rsid w:val="003D3F36"/>
    <w:rsid w:val="003D4F46"/>
    <w:rsid w:val="003E0858"/>
    <w:rsid w:val="003E097B"/>
    <w:rsid w:val="003E36B6"/>
    <w:rsid w:val="003E740E"/>
    <w:rsid w:val="003F3502"/>
    <w:rsid w:val="003F4F54"/>
    <w:rsid w:val="00444B1C"/>
    <w:rsid w:val="00456316"/>
    <w:rsid w:val="0046180C"/>
    <w:rsid w:val="004628E8"/>
    <w:rsid w:val="00482813"/>
    <w:rsid w:val="00484DB0"/>
    <w:rsid w:val="004963B7"/>
    <w:rsid w:val="004C0EE1"/>
    <w:rsid w:val="004E091D"/>
    <w:rsid w:val="004F4AE6"/>
    <w:rsid w:val="005217F3"/>
    <w:rsid w:val="00561A23"/>
    <w:rsid w:val="00581EDA"/>
    <w:rsid w:val="00595775"/>
    <w:rsid w:val="005977A3"/>
    <w:rsid w:val="005B0E56"/>
    <w:rsid w:val="005E7C68"/>
    <w:rsid w:val="00602FF4"/>
    <w:rsid w:val="00615723"/>
    <w:rsid w:val="006525C2"/>
    <w:rsid w:val="00676EE0"/>
    <w:rsid w:val="006B1573"/>
    <w:rsid w:val="006B61C5"/>
    <w:rsid w:val="006C2004"/>
    <w:rsid w:val="006C5E3F"/>
    <w:rsid w:val="006D5863"/>
    <w:rsid w:val="007016AD"/>
    <w:rsid w:val="00712614"/>
    <w:rsid w:val="00716337"/>
    <w:rsid w:val="007179FE"/>
    <w:rsid w:val="00726286"/>
    <w:rsid w:val="0073176D"/>
    <w:rsid w:val="007448CC"/>
    <w:rsid w:val="00746D5D"/>
    <w:rsid w:val="007A2540"/>
    <w:rsid w:val="007A35E8"/>
    <w:rsid w:val="007E5523"/>
    <w:rsid w:val="007F0228"/>
    <w:rsid w:val="0080794A"/>
    <w:rsid w:val="008113FE"/>
    <w:rsid w:val="00812CA9"/>
    <w:rsid w:val="00814862"/>
    <w:rsid w:val="008327AA"/>
    <w:rsid w:val="00835849"/>
    <w:rsid w:val="008556C8"/>
    <w:rsid w:val="00870DF3"/>
    <w:rsid w:val="00873FC7"/>
    <w:rsid w:val="008B0990"/>
    <w:rsid w:val="008B633D"/>
    <w:rsid w:val="008C2828"/>
    <w:rsid w:val="008C28DE"/>
    <w:rsid w:val="008D010A"/>
    <w:rsid w:val="009000C9"/>
    <w:rsid w:val="00905132"/>
    <w:rsid w:val="009143B7"/>
    <w:rsid w:val="009503D6"/>
    <w:rsid w:val="0095574E"/>
    <w:rsid w:val="009572A5"/>
    <w:rsid w:val="00961C43"/>
    <w:rsid w:val="00963F73"/>
    <w:rsid w:val="00994965"/>
    <w:rsid w:val="009A4A06"/>
    <w:rsid w:val="009A5E71"/>
    <w:rsid w:val="009A6914"/>
    <w:rsid w:val="009B4662"/>
    <w:rsid w:val="009C0B67"/>
    <w:rsid w:val="009C7D52"/>
    <w:rsid w:val="009F191A"/>
    <w:rsid w:val="00A179B0"/>
    <w:rsid w:val="00A238D9"/>
    <w:rsid w:val="00A353CF"/>
    <w:rsid w:val="00A67CCE"/>
    <w:rsid w:val="00A926CB"/>
    <w:rsid w:val="00A9753C"/>
    <w:rsid w:val="00AA493A"/>
    <w:rsid w:val="00B069BB"/>
    <w:rsid w:val="00B12A5D"/>
    <w:rsid w:val="00B1542B"/>
    <w:rsid w:val="00B46F41"/>
    <w:rsid w:val="00B51836"/>
    <w:rsid w:val="00BF0504"/>
    <w:rsid w:val="00C13772"/>
    <w:rsid w:val="00C23919"/>
    <w:rsid w:val="00C33549"/>
    <w:rsid w:val="00C36158"/>
    <w:rsid w:val="00C9589C"/>
    <w:rsid w:val="00CA3AEE"/>
    <w:rsid w:val="00CD0BB8"/>
    <w:rsid w:val="00CD3D9E"/>
    <w:rsid w:val="00D20499"/>
    <w:rsid w:val="00D501CC"/>
    <w:rsid w:val="00D57DE6"/>
    <w:rsid w:val="00D9076D"/>
    <w:rsid w:val="00DD6D65"/>
    <w:rsid w:val="00DD7AE4"/>
    <w:rsid w:val="00DE6201"/>
    <w:rsid w:val="00DF33AC"/>
    <w:rsid w:val="00DF7E04"/>
    <w:rsid w:val="00E14D6B"/>
    <w:rsid w:val="00E15E29"/>
    <w:rsid w:val="00E4170E"/>
    <w:rsid w:val="00E4499D"/>
    <w:rsid w:val="00E53500"/>
    <w:rsid w:val="00E57B68"/>
    <w:rsid w:val="00EE2E47"/>
    <w:rsid w:val="00EF2C14"/>
    <w:rsid w:val="00F016E7"/>
    <w:rsid w:val="00F15B2A"/>
    <w:rsid w:val="00F3274E"/>
    <w:rsid w:val="00F641CA"/>
    <w:rsid w:val="00F81296"/>
    <w:rsid w:val="00F8761F"/>
    <w:rsid w:val="00FA7B14"/>
    <w:rsid w:val="00FC2F44"/>
    <w:rsid w:val="00FE1D30"/>
    <w:rsid w:val="00FE4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57FA"/>
    <w:pPr>
      <w:spacing w:after="160" w:line="259" w:lineRule="auto"/>
      <w:ind w:left="720"/>
      <w:contextualSpacing/>
    </w:pPr>
  </w:style>
  <w:style w:type="paragraph" w:styleId="Encabezado">
    <w:name w:val="header"/>
    <w:basedOn w:val="Normal"/>
    <w:link w:val="EncabezadoCar"/>
    <w:uiPriority w:val="99"/>
    <w:unhideWhenUsed/>
    <w:rsid w:val="00701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16AD"/>
  </w:style>
  <w:style w:type="paragraph" w:styleId="Piedepgina">
    <w:name w:val="footer"/>
    <w:basedOn w:val="Normal"/>
    <w:link w:val="PiedepginaCar"/>
    <w:uiPriority w:val="99"/>
    <w:unhideWhenUsed/>
    <w:rsid w:val="007016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6AD"/>
  </w:style>
  <w:style w:type="paragraph" w:styleId="Textodeglobo">
    <w:name w:val="Balloon Text"/>
    <w:basedOn w:val="Normal"/>
    <w:link w:val="TextodegloboCar"/>
    <w:uiPriority w:val="99"/>
    <w:semiHidden/>
    <w:unhideWhenUsed/>
    <w:rsid w:val="005E7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57FA"/>
    <w:pPr>
      <w:spacing w:after="160" w:line="259" w:lineRule="auto"/>
      <w:ind w:left="720"/>
      <w:contextualSpacing/>
    </w:pPr>
  </w:style>
  <w:style w:type="paragraph" w:styleId="Encabezado">
    <w:name w:val="header"/>
    <w:basedOn w:val="Normal"/>
    <w:link w:val="EncabezadoCar"/>
    <w:uiPriority w:val="99"/>
    <w:unhideWhenUsed/>
    <w:rsid w:val="00701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16AD"/>
  </w:style>
  <w:style w:type="paragraph" w:styleId="Piedepgina">
    <w:name w:val="footer"/>
    <w:basedOn w:val="Normal"/>
    <w:link w:val="PiedepginaCar"/>
    <w:uiPriority w:val="99"/>
    <w:unhideWhenUsed/>
    <w:rsid w:val="007016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6AD"/>
  </w:style>
  <w:style w:type="paragraph" w:styleId="Textodeglobo">
    <w:name w:val="Balloon Text"/>
    <w:basedOn w:val="Normal"/>
    <w:link w:val="TextodegloboCar"/>
    <w:uiPriority w:val="99"/>
    <w:semiHidden/>
    <w:unhideWhenUsed/>
    <w:rsid w:val="005E7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7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6204">
      <w:bodyDiv w:val="1"/>
      <w:marLeft w:val="0"/>
      <w:marRight w:val="0"/>
      <w:marTop w:val="0"/>
      <w:marBottom w:val="0"/>
      <w:divBdr>
        <w:top w:val="none" w:sz="0" w:space="0" w:color="auto"/>
        <w:left w:val="none" w:sz="0" w:space="0" w:color="auto"/>
        <w:bottom w:val="none" w:sz="0" w:space="0" w:color="auto"/>
        <w:right w:val="none" w:sz="0" w:space="0" w:color="auto"/>
      </w:divBdr>
    </w:div>
    <w:div w:id="10165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RECUPERACION%20DE%20REZAG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RECUPERACION%20DE%20REZAG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RECUPERACION%20DE%20REZAG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RECUPERACIÓN</a:t>
            </a:r>
            <a:r>
              <a:rPr lang="es-MX" baseline="0"/>
              <a:t> DE REZAGO</a:t>
            </a:r>
            <a:endParaRPr lang="es-MX"/>
          </a:p>
        </c:rich>
      </c:tx>
      <c:overlay val="0"/>
      <c:spPr>
        <a:noFill/>
        <a:ln>
          <a:noFill/>
        </a:ln>
        <a:effectLst/>
      </c:spPr>
    </c:title>
    <c:autoTitleDeleted val="0"/>
    <c:plotArea>
      <c:layout/>
      <c:barChart>
        <c:barDir val="col"/>
        <c:grouping val="clustered"/>
        <c:varyColors val="0"/>
        <c:ser>
          <c:idx val="0"/>
          <c:order val="0"/>
          <c:tx>
            <c:strRef>
              <c:f>GRÁFICO!$A$2</c:f>
              <c:strCache>
                <c:ptCount val="1"/>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GRÁFICO!$B$1:$M$1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GRÁFICO!$B$2:$M$2</c:f>
              <c:numCache>
                <c:formatCode>_("$"* #,##0.00_);_("$"* \(#,##0.00\);_("$"* "-"??_);_(@_)</c:formatCode>
                <c:ptCount val="12"/>
                <c:pt idx="0">
                  <c:v>1241291.3599999999</c:v>
                </c:pt>
                <c:pt idx="1">
                  <c:v>710590.27999999991</c:v>
                </c:pt>
                <c:pt idx="2">
                  <c:v>489372.64000000007</c:v>
                </c:pt>
                <c:pt idx="3">
                  <c:v>393956.77999999997</c:v>
                </c:pt>
                <c:pt idx="4">
                  <c:v>361257.82999999996</c:v>
                </c:pt>
                <c:pt idx="5">
                  <c:v>270155.44</c:v>
                </c:pt>
                <c:pt idx="6">
                  <c:v>270155.44</c:v>
                </c:pt>
                <c:pt idx="7">
                  <c:v>270155.44</c:v>
                </c:pt>
                <c:pt idx="8">
                  <c:v>333581.13</c:v>
                </c:pt>
                <c:pt idx="9">
                  <c:v>287721.82999999996</c:v>
                </c:pt>
                <c:pt idx="10">
                  <c:v>258670.49</c:v>
                </c:pt>
                <c:pt idx="11">
                  <c:v>537751.18000000005</c:v>
                </c:pt>
              </c:numCache>
            </c:numRef>
          </c:val>
        </c:ser>
        <c:ser>
          <c:idx val="1"/>
          <c:order val="1"/>
          <c:tx>
            <c:strRef>
              <c:f>GRÁFICO!$A$3</c:f>
              <c:strCache>
                <c:ptCount val="1"/>
                <c:pt idx="0">
                  <c:v>2019</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GRÁFICO!$B$1:$M$1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GRÁFICO!$B$3:$M$3</c:f>
              <c:numCache>
                <c:formatCode>_("$"* #,##0.00_);_("$"* \(#,##0.00\);_("$"* "-"??_);_(@_)</c:formatCode>
                <c:ptCount val="12"/>
                <c:pt idx="0">
                  <c:v>1621135.6700000004</c:v>
                </c:pt>
                <c:pt idx="1">
                  <c:v>966035.7</c:v>
                </c:pt>
                <c:pt idx="2">
                  <c:v>957792.81</c:v>
                </c:pt>
                <c:pt idx="3">
                  <c:v>727119.97</c:v>
                </c:pt>
                <c:pt idx="4">
                  <c:v>622865.03</c:v>
                </c:pt>
                <c:pt idx="5">
                  <c:v>738415.78999999992</c:v>
                </c:pt>
                <c:pt idx="6">
                  <c:v>738415.78999999992</c:v>
                </c:pt>
                <c:pt idx="7">
                  <c:v>738415.78999999992</c:v>
                </c:pt>
                <c:pt idx="8">
                  <c:v>511268.57999999996</c:v>
                </c:pt>
                <c:pt idx="9">
                  <c:v>371660.01999999996</c:v>
                </c:pt>
                <c:pt idx="10">
                  <c:v>522734.7</c:v>
                </c:pt>
                <c:pt idx="11">
                  <c:v>618362.59</c:v>
                </c:pt>
              </c:numCache>
            </c:numRef>
          </c:val>
        </c:ser>
        <c:ser>
          <c:idx val="2"/>
          <c:order val="2"/>
          <c:tx>
            <c:strRef>
              <c:f>GRÁFICO!$A$4</c:f>
              <c:strCache>
                <c:ptCount val="1"/>
                <c:pt idx="0">
                  <c:v>2020</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GRÁFICO!$B$1:$M$1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GRÁFICO!$B$4:$M$4</c:f>
              <c:numCache>
                <c:formatCode>_("$"* #,##0.00_);_("$"* \(#,##0.00\);_("$"* "-"??_);_(@_)</c:formatCode>
                <c:ptCount val="12"/>
                <c:pt idx="0">
                  <c:v>1824636.8699999999</c:v>
                </c:pt>
                <c:pt idx="1">
                  <c:v>1139954.51</c:v>
                </c:pt>
                <c:pt idx="2">
                  <c:v>639575.48</c:v>
                </c:pt>
                <c:pt idx="3">
                  <c:v>224001.48</c:v>
                </c:pt>
                <c:pt idx="4">
                  <c:v>386931.48000000004</c:v>
                </c:pt>
              </c:numCache>
            </c:numRef>
          </c:val>
        </c:ser>
        <c:dLbls>
          <c:showLegendKey val="0"/>
          <c:showVal val="0"/>
          <c:showCatName val="0"/>
          <c:showSerName val="0"/>
          <c:showPercent val="0"/>
          <c:showBubbleSize val="0"/>
        </c:dLbls>
        <c:gapWidth val="100"/>
        <c:overlap val="-24"/>
        <c:axId val="125524224"/>
        <c:axId val="125558784"/>
      </c:barChart>
      <c:catAx>
        <c:axId val="1255242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25558784"/>
        <c:crosses val="autoZero"/>
        <c:auto val="1"/>
        <c:lblAlgn val="ctr"/>
        <c:lblOffset val="100"/>
        <c:noMultiLvlLbl val="0"/>
      </c:catAx>
      <c:valAx>
        <c:axId val="125558784"/>
        <c:scaling>
          <c:orientation val="minMax"/>
        </c:scaling>
        <c:delete val="0"/>
        <c:axPos val="l"/>
        <c:majorGridlines>
          <c:spPr>
            <a:ln w="9525" cap="flat" cmpd="sng" algn="ctr">
              <a:solidFill>
                <a:schemeClr val="lt1">
                  <a:lumMod val="95000"/>
                  <a:alpha val="10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2552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DISTRIBUCIÓN DE INGRESOS PROPIOS</a:t>
            </a:r>
          </a:p>
        </c:rich>
      </c:tx>
      <c:overlay val="0"/>
      <c:spPr>
        <a:noFill/>
        <a:ln>
          <a:noFill/>
        </a:ln>
        <a:effectLst/>
      </c:spPr>
    </c:title>
    <c:autoTitleDeleted val="0"/>
    <c:plotArea>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'DISTRIBUCION '!$A$2:$A$5</c:f>
              <c:strCache>
                <c:ptCount val="4"/>
                <c:pt idx="0">
                  <c:v>IMPUESTOS</c:v>
                </c:pt>
                <c:pt idx="1">
                  <c:v>DERECHOS</c:v>
                </c:pt>
                <c:pt idx="2">
                  <c:v>PRODUCTOS</c:v>
                </c:pt>
                <c:pt idx="3">
                  <c:v>APROVECHAMIENTOS</c:v>
                </c:pt>
              </c:strCache>
            </c:strRef>
          </c:cat>
          <c:val>
            <c:numRef>
              <c:f>'DISTRIBUCION '!$B$2:$B$5</c:f>
              <c:numCache>
                <c:formatCode>_("$"* #,##0.00_);_("$"* \(#,##0.00\);_("$"* "-"??_);_(@_)</c:formatCode>
                <c:ptCount val="4"/>
                <c:pt idx="0">
                  <c:v>48327670.310000002</c:v>
                </c:pt>
                <c:pt idx="1">
                  <c:v>26595985.190000001</c:v>
                </c:pt>
                <c:pt idx="2">
                  <c:v>3441498.49</c:v>
                </c:pt>
                <c:pt idx="3">
                  <c:v>3575477.41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INGRESOS</a:t>
            </a:r>
            <a:r>
              <a:rPr lang="es-MX" baseline="0"/>
              <a:t> PROPIOS</a:t>
            </a:r>
            <a:endParaRPr lang="es-MX"/>
          </a:p>
        </c:rich>
      </c:tx>
      <c:overlay val="0"/>
      <c:spPr>
        <a:noFill/>
        <a:ln>
          <a:noFill/>
        </a:ln>
        <a:effectLst/>
      </c:spPr>
    </c:title>
    <c:autoTitleDeleted val="0"/>
    <c:plotArea>
      <c:layout/>
      <c:barChart>
        <c:barDir val="col"/>
        <c:grouping val="clustered"/>
        <c:varyColors val="0"/>
        <c:ser>
          <c:idx val="0"/>
          <c:order val="0"/>
          <c:tx>
            <c:v>2018</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'INGRESOS PROPIOS'!$A$5:$A$16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'INGRESOS PROPIOS'!$B$5:$B$16</c:f>
              <c:numCache>
                <c:formatCode>_("$"* #,##0.00_);_("$"* \(#,##0.00\);_("$"* "-"??_);_(@_)</c:formatCode>
                <c:ptCount val="12"/>
                <c:pt idx="0">
                  <c:v>29149651.720000003</c:v>
                </c:pt>
                <c:pt idx="1">
                  <c:v>11478048.581</c:v>
                </c:pt>
                <c:pt idx="2">
                  <c:v>12877123.810000002</c:v>
                </c:pt>
                <c:pt idx="3">
                  <c:v>7505993.0100000016</c:v>
                </c:pt>
                <c:pt idx="4">
                  <c:v>7808688.950000003</c:v>
                </c:pt>
                <c:pt idx="5">
                  <c:v>6525578.9099999992</c:v>
                </c:pt>
                <c:pt idx="6">
                  <c:v>7094317.1599999946</c:v>
                </c:pt>
                <c:pt idx="7">
                  <c:v>8771467.4569999911</c:v>
                </c:pt>
                <c:pt idx="8">
                  <c:v>5691233.6400000006</c:v>
                </c:pt>
                <c:pt idx="9">
                  <c:v>6380567.8800000027</c:v>
                </c:pt>
                <c:pt idx="10">
                  <c:v>5367119.5499999858</c:v>
                </c:pt>
                <c:pt idx="11">
                  <c:v>8773088.9599999953</c:v>
                </c:pt>
              </c:numCache>
            </c:numRef>
          </c:val>
        </c:ser>
        <c:ser>
          <c:idx val="1"/>
          <c:order val="1"/>
          <c:tx>
            <c:v>2019</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'INGRESOS PROPIOS'!$A$5:$A$16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'INGRESOS PROPIOS'!$C$5:$C$16</c:f>
              <c:numCache>
                <c:formatCode>_("$"* #,##0.00_);_("$"* \(#,##0.00\);_("$"* "-"??_);_(@_)</c:formatCode>
                <c:ptCount val="12"/>
                <c:pt idx="0">
                  <c:v>27574323.940000005</c:v>
                </c:pt>
                <c:pt idx="1">
                  <c:v>14736535.129999999</c:v>
                </c:pt>
                <c:pt idx="2">
                  <c:v>12179732.639999986</c:v>
                </c:pt>
                <c:pt idx="3">
                  <c:v>9730684.359999992</c:v>
                </c:pt>
                <c:pt idx="4">
                  <c:v>7828755.4800000004</c:v>
                </c:pt>
                <c:pt idx="5">
                  <c:v>8727324.1399999987</c:v>
                </c:pt>
                <c:pt idx="6">
                  <c:v>7715767.2799999947</c:v>
                </c:pt>
                <c:pt idx="7">
                  <c:v>8170880.4399999958</c:v>
                </c:pt>
                <c:pt idx="8">
                  <c:v>6568696.7099999934</c:v>
                </c:pt>
                <c:pt idx="9">
                  <c:v>11973206.93</c:v>
                </c:pt>
                <c:pt idx="10">
                  <c:v>8739561.3299999945</c:v>
                </c:pt>
                <c:pt idx="11">
                  <c:v>10496237.080000002</c:v>
                </c:pt>
              </c:numCache>
            </c:numRef>
          </c:val>
        </c:ser>
        <c:ser>
          <c:idx val="2"/>
          <c:order val="2"/>
          <c:tx>
            <c:v>2020</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'INGRESOS PROPIOS'!$A$5:$A$16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'INGRESOS PROPIOS'!$D$5:$D$16</c:f>
              <c:numCache>
                <c:formatCode>_("$"* #,##0.00_);_("$"* \(#,##0.00\);_("$"* "-"??_);_(@_)</c:formatCode>
                <c:ptCount val="12"/>
                <c:pt idx="0">
                  <c:v>33250945.379999995</c:v>
                </c:pt>
                <c:pt idx="1">
                  <c:v>16492888.419999998</c:v>
                </c:pt>
                <c:pt idx="2">
                  <c:v>15028458.220000006</c:v>
                </c:pt>
                <c:pt idx="3">
                  <c:v>6682218.22000001</c:v>
                </c:pt>
                <c:pt idx="4">
                  <c:v>5825139.3599999994</c:v>
                </c:pt>
              </c:numCache>
            </c:numRef>
          </c:val>
        </c:ser>
        <c:dLbls>
          <c:showLegendKey val="0"/>
          <c:showVal val="0"/>
          <c:showCatName val="0"/>
          <c:showSerName val="0"/>
          <c:showPercent val="0"/>
          <c:showBubbleSize val="0"/>
        </c:dLbls>
        <c:gapWidth val="150"/>
        <c:axId val="105409152"/>
        <c:axId val="105410944"/>
      </c:barChart>
      <c:catAx>
        <c:axId val="1054091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05410944"/>
        <c:crosses val="autoZero"/>
        <c:auto val="1"/>
        <c:lblAlgn val="ctr"/>
        <c:lblOffset val="100"/>
        <c:noMultiLvlLbl val="0"/>
      </c:catAx>
      <c:valAx>
        <c:axId val="105410944"/>
        <c:scaling>
          <c:orientation val="minMax"/>
        </c:scaling>
        <c:delete val="0"/>
        <c:axPos val="l"/>
        <c:majorGridlines>
          <c:spPr>
            <a:ln w="9525" cap="flat" cmpd="sng" algn="ctr">
              <a:solidFill>
                <a:schemeClr val="lt1">
                  <a:lumMod val="95000"/>
                  <a:alpha val="10000"/>
                </a:schemeClr>
              </a:solidFill>
              <a:round/>
            </a:ln>
            <a:effectLst/>
          </c:spPr>
        </c:majorGridlines>
        <c:numFmt formatCode="_(&quot;$&quot;* #,##0.00_);_(&quot;$&quot;* \(#,##0.00\);_(&quot;$&quot;*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05409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118B-7BF2-4DF5-90AE-FC37804D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Fregoso Vargas</dc:creator>
  <cp:lastModifiedBy>Alfonso Fregoso Vargas</cp:lastModifiedBy>
  <cp:revision>6</cp:revision>
  <cp:lastPrinted>2020-07-29T18:40:00Z</cp:lastPrinted>
  <dcterms:created xsi:type="dcterms:W3CDTF">2020-07-24T17:27:00Z</dcterms:created>
  <dcterms:modified xsi:type="dcterms:W3CDTF">2020-07-29T18:41:00Z</dcterms:modified>
</cp:coreProperties>
</file>