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E4" w:rsidRDefault="006433E4" w:rsidP="006433E4">
      <w:pPr>
        <w:jc w:val="center"/>
        <w:rPr>
          <w:rFonts w:ascii="Arial" w:hAnsi="Arial" w:cs="Arial"/>
          <w:b/>
          <w:iCs/>
        </w:rPr>
      </w:pPr>
      <w:r w:rsidRPr="00901FF2">
        <w:rPr>
          <w:rFonts w:ascii="Arial" w:hAnsi="Arial" w:cs="Arial"/>
          <w:b/>
          <w:iCs/>
        </w:rPr>
        <w:t xml:space="preserve">INICIATIVA DE ACUERDO ECONÓMICO </w:t>
      </w:r>
      <w:r>
        <w:rPr>
          <w:rFonts w:ascii="Arial" w:hAnsi="Arial" w:cs="Arial"/>
          <w:b/>
          <w:iCs/>
        </w:rPr>
        <w:t xml:space="preserve">QUE TURNA A COMISIONES LA SUSCRIPCIÓN DEL CONVENIO DE COLABORACIÓN ENTRE ESTE AYUNTAMIENTO Y EL SAPAZA </w:t>
      </w:r>
    </w:p>
    <w:p w:rsidR="006433E4" w:rsidRDefault="006433E4" w:rsidP="006433E4">
      <w:pPr>
        <w:jc w:val="center"/>
        <w:rPr>
          <w:rFonts w:ascii="Arial" w:hAnsi="Arial" w:cs="Arial"/>
          <w:b/>
          <w:iCs/>
        </w:rPr>
      </w:pPr>
    </w:p>
    <w:p w:rsidR="006433E4" w:rsidRPr="000A1AF4" w:rsidRDefault="006433E4" w:rsidP="006433E4">
      <w:pPr>
        <w:jc w:val="both"/>
        <w:rPr>
          <w:rFonts w:ascii="Arial" w:hAnsi="Arial" w:cs="Arial"/>
          <w:b/>
        </w:rPr>
      </w:pPr>
      <w:r w:rsidRPr="000A1AF4">
        <w:rPr>
          <w:rFonts w:ascii="Arial" w:hAnsi="Arial" w:cs="Arial"/>
          <w:b/>
        </w:rPr>
        <w:t>H. AYUNTAMIENTO CONSTITUCIONAL DE</w:t>
      </w:r>
    </w:p>
    <w:p w:rsidR="006433E4" w:rsidRPr="000A1AF4" w:rsidRDefault="006433E4" w:rsidP="006433E4">
      <w:pPr>
        <w:jc w:val="both"/>
        <w:rPr>
          <w:rFonts w:ascii="Arial" w:hAnsi="Arial" w:cs="Arial"/>
          <w:b/>
        </w:rPr>
      </w:pPr>
      <w:r w:rsidRPr="000A1AF4">
        <w:rPr>
          <w:rFonts w:ascii="Arial" w:hAnsi="Arial" w:cs="Arial"/>
          <w:b/>
        </w:rPr>
        <w:t>ZAPOTLÁN EL GRANDE, JALISCO</w:t>
      </w:r>
    </w:p>
    <w:p w:rsidR="006433E4" w:rsidRPr="000A1AF4" w:rsidRDefault="006433E4" w:rsidP="006433E4">
      <w:pPr>
        <w:jc w:val="both"/>
        <w:rPr>
          <w:rFonts w:ascii="Arial" w:hAnsi="Arial" w:cs="Arial"/>
          <w:b/>
        </w:rPr>
      </w:pPr>
      <w:r w:rsidRPr="000A1AF4">
        <w:rPr>
          <w:rFonts w:ascii="Arial" w:hAnsi="Arial" w:cs="Arial"/>
          <w:b/>
        </w:rPr>
        <w:t>PRESENTE</w:t>
      </w:r>
    </w:p>
    <w:p w:rsidR="006433E4" w:rsidRDefault="006433E4" w:rsidP="006433E4">
      <w:pPr>
        <w:jc w:val="both"/>
      </w:pPr>
    </w:p>
    <w:p w:rsidR="006433E4" w:rsidRDefault="006433E4" w:rsidP="006433E4">
      <w:pPr>
        <w:ind w:firstLine="708"/>
        <w:jc w:val="both"/>
        <w:rPr>
          <w:rFonts w:ascii="Arial" w:hAnsi="Arial" w:cs="Arial"/>
          <w:iCs/>
        </w:rPr>
      </w:pPr>
      <w:r w:rsidRPr="006C7AAC">
        <w:rPr>
          <w:rFonts w:ascii="Arial" w:hAnsi="Arial" w:cs="Arial"/>
          <w:iCs/>
        </w:rPr>
        <w:t xml:space="preserve">De conformidad </w:t>
      </w:r>
      <w:r>
        <w:rPr>
          <w:rFonts w:ascii="Arial" w:hAnsi="Arial" w:cs="Arial"/>
          <w:iCs/>
        </w:rPr>
        <w:t>en lo</w:t>
      </w:r>
      <w:r w:rsidRPr="006C7AAC">
        <w:rPr>
          <w:rFonts w:ascii="Arial" w:hAnsi="Arial" w:cs="Arial"/>
          <w:iCs/>
        </w:rPr>
        <w:t xml:space="preserve"> por los artículos 115 fracción ll de la Constitución Política de los Estados Unidos Mexicanos, 77</w:t>
      </w:r>
      <w:r>
        <w:rPr>
          <w:rFonts w:ascii="Arial" w:hAnsi="Arial" w:cs="Arial"/>
          <w:iCs/>
        </w:rPr>
        <w:t xml:space="preserve">  y</w:t>
      </w:r>
      <w:r w:rsidRPr="006C7AAC">
        <w:rPr>
          <w:rFonts w:ascii="Arial" w:hAnsi="Arial" w:cs="Arial"/>
          <w:iCs/>
        </w:rPr>
        <w:t xml:space="preserve"> 86 de la Constitución Política del Estado de Jalisco</w:t>
      </w:r>
      <w:r>
        <w:rPr>
          <w:rFonts w:ascii="Arial" w:hAnsi="Arial" w:cs="Arial"/>
          <w:iCs/>
        </w:rPr>
        <w:t xml:space="preserve">, </w:t>
      </w:r>
      <w:r w:rsidRPr="006C7AAC">
        <w:rPr>
          <w:rFonts w:ascii="Arial" w:hAnsi="Arial" w:cs="Arial"/>
          <w:iCs/>
        </w:rPr>
        <w:t xml:space="preserve"> </w:t>
      </w:r>
      <w:r>
        <w:rPr>
          <w:rFonts w:ascii="Arial" w:hAnsi="Arial" w:cs="Arial"/>
          <w:iCs/>
        </w:rPr>
        <w:t xml:space="preserve">y con las atribuciones que me confiere el artículo 87 fracción II del Reglamento Interior del Ayuntamiento de Zapotlán el Grande, Jalisco, me permito presentar a ustedes INICIATIVA DE ACUERDO ECONÓMICO QUE TURNA A COMISIONES </w:t>
      </w:r>
      <w:r>
        <w:rPr>
          <w:rFonts w:ascii="Arial" w:hAnsi="Arial" w:cs="Arial"/>
          <w:iCs/>
        </w:rPr>
        <w:t xml:space="preserve">LA SUSCRIPCIÓN DEL CONVENIO DE COLABORACIÓN ENTRE ESTE AYUNTAMIENTO Y EL SAPAZA, </w:t>
      </w:r>
      <w:r>
        <w:rPr>
          <w:rFonts w:ascii="Arial" w:hAnsi="Arial" w:cs="Arial"/>
          <w:iCs/>
        </w:rPr>
        <w:t xml:space="preserve">con base a los siguientes </w:t>
      </w:r>
    </w:p>
    <w:p w:rsidR="006433E4" w:rsidRDefault="006433E4" w:rsidP="006433E4">
      <w:pPr>
        <w:ind w:firstLine="708"/>
        <w:jc w:val="both"/>
        <w:rPr>
          <w:rFonts w:ascii="Arial" w:hAnsi="Arial" w:cs="Arial"/>
          <w:b/>
          <w:iCs/>
        </w:rPr>
      </w:pPr>
    </w:p>
    <w:p w:rsidR="006433E4" w:rsidRPr="000A1AF4" w:rsidRDefault="006433E4" w:rsidP="006433E4">
      <w:pPr>
        <w:ind w:firstLine="708"/>
        <w:jc w:val="center"/>
        <w:rPr>
          <w:rFonts w:ascii="Arial" w:hAnsi="Arial" w:cs="Arial"/>
          <w:b/>
          <w:iCs/>
        </w:rPr>
      </w:pPr>
      <w:r w:rsidRPr="000A1AF4">
        <w:rPr>
          <w:rFonts w:ascii="Arial" w:hAnsi="Arial" w:cs="Arial"/>
          <w:b/>
          <w:iCs/>
        </w:rPr>
        <w:t xml:space="preserve">ANTECEDENTES: </w:t>
      </w:r>
    </w:p>
    <w:p w:rsidR="006433E4" w:rsidRDefault="006433E4" w:rsidP="006433E4">
      <w:pPr>
        <w:ind w:firstLine="708"/>
        <w:jc w:val="center"/>
        <w:rPr>
          <w:rFonts w:ascii="Arial" w:hAnsi="Arial" w:cs="Arial"/>
          <w:iCs/>
        </w:rPr>
      </w:pPr>
    </w:p>
    <w:p w:rsidR="006433E4" w:rsidRPr="00D15CAA" w:rsidRDefault="006433E4" w:rsidP="006433E4">
      <w:pPr>
        <w:numPr>
          <w:ilvl w:val="0"/>
          <w:numId w:val="1"/>
        </w:numPr>
        <w:jc w:val="both"/>
        <w:rPr>
          <w:rFonts w:ascii="Arial" w:hAnsi="Arial" w:cs="Arial"/>
          <w:iCs/>
        </w:rPr>
      </w:pPr>
      <w:r>
        <w:rPr>
          <w:rFonts w:ascii="Arial" w:hAnsi="Arial" w:cs="Arial"/>
          <w:iCs/>
        </w:rPr>
        <w:t>Que la Constitución Política de los Estados Unido</w:t>
      </w:r>
      <w:r>
        <w:rPr>
          <w:rFonts w:ascii="Arial" w:hAnsi="Arial" w:cs="Arial"/>
          <w:iCs/>
        </w:rPr>
        <w:t xml:space="preserve">s Mexicanos, en su artículo 115 </w:t>
      </w:r>
      <w:r>
        <w:rPr>
          <w:rFonts w:ascii="Arial" w:hAnsi="Arial" w:cs="Arial"/>
          <w:iCs/>
        </w:rPr>
        <w:t>establece que los Estados adoptarán, para su régimen interior, la forma de Gobierno republicano, representativo, popular, teniendo como base de su división territorial y de su organización política y adm</w:t>
      </w:r>
      <w:r>
        <w:rPr>
          <w:rFonts w:ascii="Arial" w:hAnsi="Arial" w:cs="Arial"/>
          <w:iCs/>
        </w:rPr>
        <w:t xml:space="preserve">inistrativa el Municipio libre, quien tendrá a su cargo entre otros, la función y el servicio público </w:t>
      </w:r>
      <w:r w:rsidR="00D15CAA" w:rsidRPr="00D15CAA">
        <w:rPr>
          <w:rFonts w:ascii="Arial" w:hAnsi="Arial" w:cs="Arial"/>
          <w:iCs/>
        </w:rPr>
        <w:t>a</w:t>
      </w:r>
      <w:r w:rsidR="00D15CAA" w:rsidRPr="00D15CAA">
        <w:rPr>
          <w:rFonts w:ascii="Arial" w:hAnsi="Arial" w:cs="Arial"/>
        </w:rPr>
        <w:t>gua potable, drenaje, alcantarillado, tratamiento y disposición de sus aguas residuales;</w:t>
      </w:r>
    </w:p>
    <w:p w:rsidR="006433E4" w:rsidRDefault="006433E4" w:rsidP="006433E4">
      <w:pPr>
        <w:ind w:left="1623"/>
        <w:jc w:val="both"/>
        <w:rPr>
          <w:rFonts w:ascii="Arial" w:hAnsi="Arial" w:cs="Arial"/>
          <w:iCs/>
        </w:rPr>
      </w:pPr>
    </w:p>
    <w:p w:rsidR="006433E4" w:rsidRPr="00807557" w:rsidRDefault="006433E4" w:rsidP="006433E4">
      <w:pPr>
        <w:numPr>
          <w:ilvl w:val="0"/>
          <w:numId w:val="1"/>
        </w:numPr>
        <w:jc w:val="both"/>
        <w:rPr>
          <w:rFonts w:ascii="Arial" w:hAnsi="Arial" w:cs="Arial"/>
          <w:iCs/>
        </w:rPr>
      </w:pPr>
      <w:r>
        <w:rPr>
          <w:rFonts w:ascii="Arial" w:hAnsi="Arial" w:cs="Arial"/>
          <w:iCs/>
        </w:rPr>
        <w:t xml:space="preserve">La particular del Estado de Jalisco, en su artículo 73 establece que el </w:t>
      </w:r>
      <w:r w:rsidRPr="00EB3E0A">
        <w:rPr>
          <w:rFonts w:ascii="Arial" w:hAnsi="Arial" w:cs="Arial"/>
          <w:spacing w:val="-3"/>
        </w:rPr>
        <w:t>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Pr>
          <w:rFonts w:ascii="Arial" w:hAnsi="Arial" w:cs="Arial"/>
          <w:spacing w:val="-3"/>
        </w:rPr>
        <w:t xml:space="preserve"> y en las leyes de la materia. </w:t>
      </w:r>
    </w:p>
    <w:p w:rsidR="006433E4" w:rsidRDefault="006433E4" w:rsidP="006433E4">
      <w:pPr>
        <w:pStyle w:val="Prrafodelista"/>
        <w:rPr>
          <w:rFonts w:ascii="Arial" w:hAnsi="Arial" w:cs="Arial"/>
          <w:iCs/>
        </w:rPr>
      </w:pPr>
    </w:p>
    <w:p w:rsidR="00D67EB3" w:rsidRPr="008F2859" w:rsidRDefault="006433E4" w:rsidP="00D67EB3">
      <w:pPr>
        <w:numPr>
          <w:ilvl w:val="0"/>
          <w:numId w:val="1"/>
        </w:numPr>
        <w:jc w:val="both"/>
        <w:rPr>
          <w:rFonts w:ascii="Arial" w:hAnsi="Arial" w:cs="Arial"/>
          <w:iCs/>
        </w:rPr>
      </w:pPr>
      <w:r w:rsidRPr="008F2859">
        <w:rPr>
          <w:rFonts w:ascii="Arial" w:hAnsi="Arial" w:cs="Arial"/>
          <w:iCs/>
        </w:rPr>
        <w:t>Por su parte la Ley del Gobierno y la Administración Pública Municipal</w:t>
      </w:r>
      <w:r w:rsidR="00D15CAA" w:rsidRPr="008F2859">
        <w:rPr>
          <w:rFonts w:ascii="Arial" w:hAnsi="Arial" w:cs="Arial"/>
          <w:iCs/>
        </w:rPr>
        <w:t xml:space="preserve"> </w:t>
      </w:r>
      <w:r w:rsidRPr="008F2859">
        <w:rPr>
          <w:rFonts w:ascii="Arial" w:hAnsi="Arial" w:cs="Arial"/>
          <w:iCs/>
        </w:rPr>
        <w:t xml:space="preserve">en su artículo </w:t>
      </w:r>
      <w:r w:rsidR="00D15CAA" w:rsidRPr="008F2859">
        <w:rPr>
          <w:rFonts w:ascii="Arial" w:hAnsi="Arial" w:cs="Arial"/>
          <w:iCs/>
        </w:rPr>
        <w:t xml:space="preserve">36 otorga facultades a los Ayuntamientos para crear Organismos Públicos Descentralizados. </w:t>
      </w:r>
      <w:r w:rsidR="008F2859" w:rsidRPr="008F2859">
        <w:rPr>
          <w:rFonts w:ascii="Arial" w:hAnsi="Arial" w:cs="Arial"/>
          <w:iCs/>
        </w:rPr>
        <w:t xml:space="preserve">Por lo que </w:t>
      </w:r>
      <w:r w:rsidR="008F2859">
        <w:rPr>
          <w:rFonts w:ascii="Arial" w:hAnsi="Arial" w:cs="Arial"/>
          <w:iCs/>
        </w:rPr>
        <w:t>c</w:t>
      </w:r>
      <w:r w:rsidR="00D15CAA" w:rsidRPr="008F2859">
        <w:rPr>
          <w:rFonts w:ascii="Arial" w:hAnsi="Arial" w:cs="Arial"/>
          <w:iCs/>
        </w:rPr>
        <w:t xml:space="preserve">on fecha 2 de agosto del año 2005, se publicó en la Gaceta de Zapotlán la Creación del Organismo Público Descentralizado </w:t>
      </w:r>
      <w:r w:rsidR="00D15CAA" w:rsidRPr="008F2859">
        <w:rPr>
          <w:rFonts w:ascii="Arial" w:hAnsi="Arial" w:cs="Arial"/>
          <w:iCs/>
        </w:rPr>
        <w:lastRenderedPageBreak/>
        <w:t>denominado “Sistema de Agua Potable, Alcantarillado y Saneamiento del Municipio de Zapotlán el Grande, Jalisco, que disponía en su artículo 1</w:t>
      </w:r>
      <w:r w:rsidR="008F2859">
        <w:rPr>
          <w:rFonts w:ascii="Arial" w:hAnsi="Arial" w:cs="Arial"/>
          <w:iCs/>
        </w:rPr>
        <w:t>, que</w:t>
      </w:r>
      <w:r w:rsidR="00D15CAA" w:rsidRPr="008F2859">
        <w:rPr>
          <w:rFonts w:ascii="Arial" w:hAnsi="Arial" w:cs="Arial"/>
          <w:iCs/>
        </w:rPr>
        <w:t xml:space="preserve"> </w:t>
      </w:r>
      <w:r w:rsidR="008F2859">
        <w:rPr>
          <w:rFonts w:ascii="Arial" w:hAnsi="Arial" w:cs="Arial"/>
          <w:iCs/>
        </w:rPr>
        <w:t>l</w:t>
      </w:r>
      <w:r w:rsidR="00D15CAA" w:rsidRPr="008F2859">
        <w:rPr>
          <w:rFonts w:ascii="ArialMT" w:eastAsiaTheme="minorHAnsi" w:hAnsi="ArialMT" w:cs="ArialMT"/>
          <w:sz w:val="23"/>
          <w:szCs w:val="23"/>
          <w:lang w:val="es-MX" w:eastAsia="en-US"/>
        </w:rPr>
        <w:t>a prestación del servicio</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público de agua potable, drenaje, alcantarillado,</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tratamiento y disposición de aguas residuales</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en el Municipio de Zapotlán el Grande,</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Jalisco, será a través de un Organismo</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Público Descentralizado de la Administración</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Municipal, con personalidad jurídica y</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patrimonio propios, denominado “Sistema de</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Agua Potable, Alcantarillado y Saneamiento</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del Municipio de Zapotlán el Grande, Jalisco”,</w:t>
      </w:r>
      <w:r w:rsidR="00D15CAA" w:rsidRPr="008F2859">
        <w:rPr>
          <w:rFonts w:ascii="ArialMT" w:eastAsiaTheme="minorHAnsi" w:hAnsi="ArialMT" w:cs="ArialMT"/>
          <w:sz w:val="23"/>
          <w:szCs w:val="23"/>
          <w:lang w:val="es-MX" w:eastAsia="en-US"/>
        </w:rPr>
        <w:t xml:space="preserve"> </w:t>
      </w:r>
      <w:r w:rsidR="00D15CAA" w:rsidRPr="008F2859">
        <w:rPr>
          <w:rFonts w:ascii="ArialMT" w:eastAsiaTheme="minorHAnsi" w:hAnsi="ArialMT" w:cs="ArialMT"/>
          <w:sz w:val="23"/>
          <w:szCs w:val="23"/>
          <w:lang w:val="es-MX" w:eastAsia="en-US"/>
        </w:rPr>
        <w:t>(SAPASZA).</w:t>
      </w:r>
    </w:p>
    <w:p w:rsidR="00D67EB3" w:rsidRDefault="00D67EB3" w:rsidP="00D67EB3">
      <w:pPr>
        <w:pStyle w:val="Prrafodelista"/>
        <w:rPr>
          <w:rFonts w:ascii="Arial" w:hAnsi="Arial" w:cs="Arial"/>
          <w:iCs/>
        </w:rPr>
      </w:pPr>
    </w:p>
    <w:p w:rsidR="00D67EB3" w:rsidRDefault="00B21AD9" w:rsidP="00D67EB3">
      <w:pPr>
        <w:numPr>
          <w:ilvl w:val="0"/>
          <w:numId w:val="1"/>
        </w:numPr>
        <w:jc w:val="both"/>
        <w:rPr>
          <w:rFonts w:ascii="Arial" w:hAnsi="Arial" w:cs="Arial"/>
          <w:iCs/>
        </w:rPr>
      </w:pPr>
      <w:r w:rsidRPr="00D67EB3">
        <w:rPr>
          <w:rFonts w:ascii="Arial" w:hAnsi="Arial" w:cs="Arial"/>
          <w:iCs/>
        </w:rPr>
        <w:t>El 11 de Septiembre del año 2009,</w:t>
      </w:r>
      <w:r w:rsidR="008F2859">
        <w:rPr>
          <w:rFonts w:ascii="Arial" w:hAnsi="Arial" w:cs="Arial"/>
          <w:iCs/>
        </w:rPr>
        <w:t xml:space="preserve"> se derogó dicho ordenamiento, mismo que fue publicado </w:t>
      </w:r>
      <w:r w:rsidRPr="00D67EB3">
        <w:rPr>
          <w:rFonts w:ascii="Arial" w:hAnsi="Arial" w:cs="Arial"/>
          <w:iCs/>
        </w:rPr>
        <w:t>en la gaceta Municipal</w:t>
      </w:r>
      <w:r w:rsidR="008F2859">
        <w:rPr>
          <w:rFonts w:ascii="Arial" w:hAnsi="Arial" w:cs="Arial"/>
          <w:iCs/>
        </w:rPr>
        <w:t>, creando el</w:t>
      </w:r>
      <w:r w:rsidRPr="00D67EB3">
        <w:rPr>
          <w:rFonts w:ascii="Arial" w:hAnsi="Arial" w:cs="Arial"/>
          <w:iCs/>
        </w:rPr>
        <w:t xml:space="preserve"> Reglamento que rige el Funcionamiento del Organismo Público Descentralizado Municipal Sistema de Agua Potable de</w:t>
      </w:r>
      <w:r w:rsidR="00D67EB3" w:rsidRPr="00D67EB3">
        <w:rPr>
          <w:rFonts w:ascii="Arial" w:hAnsi="Arial" w:cs="Arial"/>
          <w:iCs/>
        </w:rPr>
        <w:t xml:space="preserve"> Zapotlán, dejando a salvo la creación y constitución del organismo Público Descentralizado Operador del Sistema de Agua Potable, Alcantarillado y Saneamiento del Municipio </w:t>
      </w:r>
      <w:r w:rsidR="008F2859">
        <w:rPr>
          <w:rFonts w:ascii="Arial" w:hAnsi="Arial" w:cs="Arial"/>
          <w:iCs/>
        </w:rPr>
        <w:t xml:space="preserve">de Zapotlán el Grande, Jalisco, conforme se disponía en su artículo transitorio segundo. </w:t>
      </w:r>
    </w:p>
    <w:p w:rsidR="00D67EB3" w:rsidRDefault="00D67EB3" w:rsidP="00D67EB3">
      <w:pPr>
        <w:pStyle w:val="Prrafodelista"/>
        <w:rPr>
          <w:rFonts w:ascii="Arial" w:hAnsi="Arial" w:cs="Arial"/>
          <w:iCs/>
        </w:rPr>
      </w:pPr>
    </w:p>
    <w:p w:rsidR="00D055D1" w:rsidRDefault="00D67EB3" w:rsidP="00D055D1">
      <w:pPr>
        <w:numPr>
          <w:ilvl w:val="0"/>
          <w:numId w:val="1"/>
        </w:numPr>
        <w:jc w:val="both"/>
        <w:rPr>
          <w:rFonts w:ascii="Arial" w:hAnsi="Arial" w:cs="Arial"/>
          <w:iCs/>
        </w:rPr>
      </w:pPr>
      <w:r>
        <w:rPr>
          <w:rFonts w:ascii="Arial" w:hAnsi="Arial" w:cs="Arial"/>
          <w:iCs/>
        </w:rPr>
        <w:t xml:space="preserve">De las disposiciones vigentes que rigen el funcionamiento del Organismo a que me refiero en </w:t>
      </w:r>
      <w:proofErr w:type="spellStart"/>
      <w:r>
        <w:rPr>
          <w:rFonts w:ascii="Arial" w:hAnsi="Arial" w:cs="Arial"/>
          <w:iCs/>
        </w:rPr>
        <w:t>supralíneas</w:t>
      </w:r>
      <w:proofErr w:type="spellEnd"/>
      <w:r>
        <w:rPr>
          <w:rFonts w:ascii="Arial" w:hAnsi="Arial" w:cs="Arial"/>
          <w:iCs/>
        </w:rPr>
        <w:t xml:space="preserve">, encontramos </w:t>
      </w:r>
      <w:r w:rsidR="000A1391">
        <w:rPr>
          <w:rFonts w:ascii="Arial" w:hAnsi="Arial" w:cs="Arial"/>
          <w:iCs/>
        </w:rPr>
        <w:t>en su artículo 42 fracción IV, que el patrimonio del Organismo se integra entre otros, por los ingresos que se obtengan por la prestación de sus servicios, así como los derivados de la aplicación de multas y sanciones.</w:t>
      </w:r>
      <w:r w:rsidR="00D055D1">
        <w:rPr>
          <w:rFonts w:ascii="Arial" w:hAnsi="Arial" w:cs="Arial"/>
          <w:iCs/>
        </w:rPr>
        <w:t xml:space="preserve"> </w:t>
      </w:r>
    </w:p>
    <w:p w:rsidR="00D055D1" w:rsidRDefault="00D055D1" w:rsidP="00D055D1">
      <w:pPr>
        <w:pStyle w:val="Prrafodelista"/>
        <w:rPr>
          <w:rFonts w:ascii="Arial" w:hAnsi="Arial" w:cs="Arial"/>
          <w:iCs/>
        </w:rPr>
      </w:pPr>
    </w:p>
    <w:p w:rsidR="00D055D1" w:rsidRDefault="00D055D1" w:rsidP="00D055D1">
      <w:pPr>
        <w:numPr>
          <w:ilvl w:val="0"/>
          <w:numId w:val="1"/>
        </w:numPr>
        <w:jc w:val="both"/>
        <w:rPr>
          <w:rFonts w:ascii="Arial" w:hAnsi="Arial" w:cs="Arial"/>
          <w:iCs/>
        </w:rPr>
      </w:pPr>
      <w:r>
        <w:rPr>
          <w:rFonts w:ascii="Arial" w:hAnsi="Arial" w:cs="Arial"/>
          <w:iCs/>
        </w:rPr>
        <w:t>Toda vez que en la actualidad el organismo cuenta con una cartera vencida, es obligación del director vigilar que se cobren en tiempo y en forma los créditos fiscales a favor del mismo de conformidad a lo dispuesto por el artículo 34 fracción XII del Reglamento citado en el punto V de los antecedentes, pues no actuar en tiempo y en forma para interrumpir la prescripción de dichos créditos o dejar de cobrar los mismos</w:t>
      </w:r>
      <w:r w:rsidR="00250191">
        <w:rPr>
          <w:rFonts w:ascii="Arial" w:hAnsi="Arial" w:cs="Arial"/>
          <w:iCs/>
        </w:rPr>
        <w:t>,</w:t>
      </w:r>
      <w:r>
        <w:rPr>
          <w:rFonts w:ascii="Arial" w:hAnsi="Arial" w:cs="Arial"/>
          <w:iCs/>
        </w:rPr>
        <w:t xml:space="preserve"> generaría un perjuicio al patrimonio del organismo incurrien</w:t>
      </w:r>
      <w:r w:rsidR="00403384">
        <w:rPr>
          <w:rFonts w:ascii="Arial" w:hAnsi="Arial" w:cs="Arial"/>
          <w:iCs/>
        </w:rPr>
        <w:t>do así en la respo</w:t>
      </w:r>
      <w:r w:rsidR="008F2859">
        <w:rPr>
          <w:rFonts w:ascii="Arial" w:hAnsi="Arial" w:cs="Arial"/>
          <w:iCs/>
        </w:rPr>
        <w:t>nsabilidad</w:t>
      </w:r>
      <w:r w:rsidR="00403384">
        <w:rPr>
          <w:rFonts w:ascii="Arial" w:hAnsi="Arial" w:cs="Arial"/>
          <w:iCs/>
        </w:rPr>
        <w:t xml:space="preserve"> </w:t>
      </w:r>
      <w:r w:rsidR="008F2859">
        <w:rPr>
          <w:rFonts w:ascii="Arial" w:hAnsi="Arial" w:cs="Arial"/>
          <w:iCs/>
        </w:rPr>
        <w:t>prevista</w:t>
      </w:r>
      <w:r w:rsidR="00403384">
        <w:rPr>
          <w:rFonts w:ascii="Arial" w:hAnsi="Arial" w:cs="Arial"/>
          <w:iCs/>
        </w:rPr>
        <w:t xml:space="preserve"> artículo 238 fracción I de la Ley de Hacienda Pública Municipal del Estado de Jalisco y sus Municipios que a la letra señala: </w:t>
      </w:r>
    </w:p>
    <w:p w:rsidR="00403384" w:rsidRDefault="00403384" w:rsidP="00403384">
      <w:pPr>
        <w:pStyle w:val="Prrafodelista"/>
        <w:rPr>
          <w:rFonts w:ascii="Arial" w:hAnsi="Arial" w:cs="Arial"/>
          <w:iCs/>
        </w:rPr>
      </w:pPr>
    </w:p>
    <w:p w:rsidR="00403384" w:rsidRPr="00403384" w:rsidRDefault="00403384" w:rsidP="00403384">
      <w:pPr>
        <w:tabs>
          <w:tab w:val="left" w:pos="-720"/>
        </w:tabs>
        <w:suppressAutoHyphens/>
        <w:jc w:val="both"/>
        <w:rPr>
          <w:rFonts w:ascii="Arial" w:hAnsi="Arial" w:cs="Arial"/>
          <w:i/>
          <w:spacing w:val="-3"/>
          <w:sz w:val="20"/>
        </w:rPr>
      </w:pPr>
      <w:r w:rsidRPr="00403384">
        <w:rPr>
          <w:rFonts w:ascii="Arial" w:hAnsi="Arial" w:cs="Arial"/>
          <w:b/>
          <w:i/>
          <w:spacing w:val="-3"/>
          <w:sz w:val="20"/>
        </w:rPr>
        <w:t>Artículo 238.</w:t>
      </w:r>
      <w:r w:rsidRPr="00403384">
        <w:rPr>
          <w:rFonts w:ascii="Arial" w:hAnsi="Arial" w:cs="Arial"/>
          <w:b/>
          <w:i/>
          <w:spacing w:val="-3"/>
          <w:sz w:val="20"/>
        </w:rPr>
        <w:noBreakHyphen/>
      </w:r>
      <w:r w:rsidRPr="00403384">
        <w:rPr>
          <w:rFonts w:ascii="Arial" w:hAnsi="Arial" w:cs="Arial"/>
          <w:i/>
          <w:spacing w:val="-3"/>
          <w:sz w:val="20"/>
        </w:rPr>
        <w:t xml:space="preserve"> Las responsabilidades serán imputables:</w:t>
      </w:r>
    </w:p>
    <w:p w:rsidR="00403384" w:rsidRPr="00403384" w:rsidRDefault="00403384" w:rsidP="00403384">
      <w:pPr>
        <w:tabs>
          <w:tab w:val="left" w:pos="-720"/>
        </w:tabs>
        <w:suppressAutoHyphens/>
        <w:jc w:val="both"/>
        <w:rPr>
          <w:rFonts w:ascii="Arial" w:hAnsi="Arial" w:cs="Arial"/>
          <w:i/>
          <w:spacing w:val="-3"/>
          <w:sz w:val="20"/>
        </w:rPr>
      </w:pPr>
    </w:p>
    <w:p w:rsidR="00403384" w:rsidRPr="00403384" w:rsidRDefault="00403384" w:rsidP="00403384">
      <w:pPr>
        <w:pStyle w:val="Prrafodelista"/>
        <w:numPr>
          <w:ilvl w:val="0"/>
          <w:numId w:val="5"/>
        </w:numPr>
        <w:jc w:val="both"/>
        <w:rPr>
          <w:rFonts w:ascii="Arial" w:hAnsi="Arial" w:cs="Arial"/>
          <w:i/>
          <w:spacing w:val="-3"/>
          <w:sz w:val="20"/>
        </w:rPr>
      </w:pPr>
      <w:r w:rsidRPr="00403384">
        <w:rPr>
          <w:rFonts w:ascii="Arial" w:hAnsi="Arial" w:cs="Arial"/>
          <w:i/>
          <w:spacing w:val="-3"/>
          <w:sz w:val="20"/>
        </w:rPr>
        <w:lastRenderedPageBreak/>
        <w:t>A los servidores públicos municipales, por la inexacta aplicación de las leyes hacendarias, o cualquier otro acto que cause daño o perjuicio a la Hacienda Pública Municipal;</w:t>
      </w:r>
    </w:p>
    <w:p w:rsidR="00403384" w:rsidRDefault="00403384" w:rsidP="00403384">
      <w:pPr>
        <w:jc w:val="both"/>
        <w:rPr>
          <w:rFonts w:ascii="Arial" w:hAnsi="Arial" w:cs="Arial"/>
          <w:iCs/>
        </w:rPr>
      </w:pPr>
    </w:p>
    <w:p w:rsidR="00403384" w:rsidRPr="00403384" w:rsidRDefault="00DF2579" w:rsidP="00403384">
      <w:pPr>
        <w:jc w:val="both"/>
        <w:rPr>
          <w:rFonts w:ascii="Arial" w:hAnsi="Arial" w:cs="Arial"/>
          <w:iCs/>
        </w:rPr>
      </w:pPr>
      <w:r>
        <w:rPr>
          <w:rFonts w:ascii="Arial" w:hAnsi="Arial" w:cs="Arial"/>
          <w:iCs/>
        </w:rPr>
        <w:t>Lo anterior sin perjuicio de las responsabilidades penales conforme</w:t>
      </w:r>
      <w:r w:rsidR="00403384">
        <w:rPr>
          <w:rFonts w:ascii="Arial" w:hAnsi="Arial" w:cs="Arial"/>
          <w:iCs/>
        </w:rPr>
        <w:t xml:space="preserve"> lo dispuesto por el Código Penal para el Estado </w:t>
      </w:r>
      <w:r>
        <w:rPr>
          <w:rFonts w:ascii="Arial" w:hAnsi="Arial" w:cs="Arial"/>
          <w:iCs/>
        </w:rPr>
        <w:t xml:space="preserve">de Jalisco, en su artículo 146 textualmente señala: </w:t>
      </w:r>
    </w:p>
    <w:p w:rsidR="00403384" w:rsidRPr="00DF2579" w:rsidRDefault="00403384" w:rsidP="00403384">
      <w:pPr>
        <w:widowControl w:val="0"/>
        <w:tabs>
          <w:tab w:val="left" w:pos="284"/>
          <w:tab w:val="center" w:pos="4680"/>
        </w:tabs>
        <w:suppressAutoHyphens/>
        <w:jc w:val="center"/>
        <w:rPr>
          <w:rFonts w:ascii="Arial" w:hAnsi="Arial" w:cs="Arial"/>
          <w:b/>
          <w:bCs/>
          <w:i/>
          <w:spacing w:val="-3"/>
          <w:sz w:val="20"/>
          <w:szCs w:val="20"/>
        </w:rPr>
      </w:pPr>
      <w:r w:rsidRPr="00DF2579">
        <w:rPr>
          <w:rFonts w:ascii="Arial" w:hAnsi="Arial" w:cs="Arial"/>
          <w:b/>
          <w:bCs/>
          <w:i/>
          <w:spacing w:val="-3"/>
          <w:sz w:val="20"/>
          <w:szCs w:val="20"/>
        </w:rPr>
        <w:t>CAPÍTULO III</w:t>
      </w:r>
    </w:p>
    <w:p w:rsidR="00403384" w:rsidRPr="00DF2579" w:rsidRDefault="00403384" w:rsidP="00403384">
      <w:pPr>
        <w:widowControl w:val="0"/>
        <w:tabs>
          <w:tab w:val="left" w:pos="284"/>
          <w:tab w:val="center" w:pos="4680"/>
        </w:tabs>
        <w:suppressAutoHyphens/>
        <w:jc w:val="center"/>
        <w:rPr>
          <w:rFonts w:ascii="Arial" w:hAnsi="Arial" w:cs="Arial"/>
          <w:b/>
          <w:bCs/>
          <w:i/>
          <w:spacing w:val="-3"/>
          <w:sz w:val="20"/>
          <w:szCs w:val="20"/>
        </w:rPr>
      </w:pPr>
      <w:r w:rsidRPr="00DF2579">
        <w:rPr>
          <w:rFonts w:ascii="Arial" w:hAnsi="Arial" w:cs="Arial"/>
          <w:b/>
          <w:bCs/>
          <w:i/>
          <w:spacing w:val="-3"/>
          <w:sz w:val="20"/>
          <w:szCs w:val="20"/>
        </w:rPr>
        <w:t>Abuso de Autoridad</w:t>
      </w:r>
    </w:p>
    <w:p w:rsidR="00403384" w:rsidRPr="00DF2579" w:rsidRDefault="00403384" w:rsidP="00403384">
      <w:pPr>
        <w:widowControl w:val="0"/>
        <w:tabs>
          <w:tab w:val="left" w:pos="-720"/>
          <w:tab w:val="left" w:pos="284"/>
        </w:tabs>
        <w:suppressAutoHyphens/>
        <w:jc w:val="both"/>
        <w:rPr>
          <w:rFonts w:ascii="Arial" w:hAnsi="Arial" w:cs="Arial"/>
          <w:i/>
          <w:spacing w:val="-3"/>
          <w:sz w:val="20"/>
          <w:szCs w:val="20"/>
        </w:rPr>
      </w:pPr>
    </w:p>
    <w:p w:rsidR="00403384" w:rsidRPr="00DF2579" w:rsidRDefault="00403384" w:rsidP="00403384">
      <w:pPr>
        <w:spacing w:line="276" w:lineRule="auto"/>
        <w:jc w:val="both"/>
        <w:rPr>
          <w:rFonts w:ascii="Arial" w:hAnsi="Arial" w:cs="Arial"/>
          <w:i/>
          <w:sz w:val="20"/>
          <w:szCs w:val="20"/>
        </w:rPr>
      </w:pPr>
      <w:r w:rsidRPr="00DF2579">
        <w:rPr>
          <w:rFonts w:ascii="Arial" w:hAnsi="Arial" w:cs="Arial"/>
          <w:b/>
          <w:i/>
          <w:sz w:val="20"/>
          <w:szCs w:val="20"/>
        </w:rPr>
        <w:t>Artículo 146.</w:t>
      </w:r>
      <w:r w:rsidRPr="00DF2579">
        <w:rPr>
          <w:rFonts w:ascii="Arial" w:hAnsi="Arial" w:cs="Arial"/>
          <w:i/>
          <w:sz w:val="20"/>
          <w:szCs w:val="20"/>
        </w:rPr>
        <w:t xml:space="preserve"> Comete el delito de abuso de autoridad todo servidor público, sea cual fuere su categoría, que incurra en alguno de los casos siguientes:</w:t>
      </w:r>
    </w:p>
    <w:p w:rsidR="00403384" w:rsidRPr="00DF2579" w:rsidRDefault="00403384" w:rsidP="00403384">
      <w:pPr>
        <w:tabs>
          <w:tab w:val="left" w:pos="709"/>
        </w:tabs>
        <w:jc w:val="both"/>
        <w:rPr>
          <w:rFonts w:ascii="Arial" w:hAnsi="Arial" w:cs="Arial"/>
          <w:i/>
          <w:sz w:val="20"/>
          <w:szCs w:val="20"/>
        </w:rPr>
      </w:pPr>
    </w:p>
    <w:p w:rsidR="00403384" w:rsidRPr="00DF2579" w:rsidRDefault="00403384" w:rsidP="00403384">
      <w:pPr>
        <w:tabs>
          <w:tab w:val="left" w:pos="709"/>
        </w:tabs>
        <w:jc w:val="both"/>
        <w:rPr>
          <w:rFonts w:ascii="Arial" w:hAnsi="Arial" w:cs="Arial"/>
          <w:i/>
          <w:sz w:val="20"/>
          <w:szCs w:val="20"/>
          <w:lang w:val="es-MX"/>
        </w:rPr>
      </w:pPr>
      <w:r w:rsidRPr="00DF2579">
        <w:rPr>
          <w:rFonts w:ascii="Arial" w:hAnsi="Arial" w:cs="Arial"/>
          <w:i/>
          <w:sz w:val="20"/>
          <w:szCs w:val="20"/>
          <w:lang w:val="es-MX"/>
        </w:rPr>
        <w:t xml:space="preserve">XIX. Cualquier servidor público que, </w:t>
      </w:r>
      <w:r w:rsidRPr="008F2859">
        <w:rPr>
          <w:rFonts w:ascii="Arial" w:hAnsi="Arial" w:cs="Arial"/>
          <w:b/>
          <w:i/>
          <w:sz w:val="20"/>
          <w:szCs w:val="20"/>
          <w:lang w:val="es-MX"/>
        </w:rPr>
        <w:t>teniendo la obligación de ejecutar créditos fiscales</w:t>
      </w:r>
      <w:r w:rsidRPr="00DF2579">
        <w:rPr>
          <w:rFonts w:ascii="Arial" w:hAnsi="Arial" w:cs="Arial"/>
          <w:i/>
          <w:sz w:val="20"/>
          <w:szCs w:val="20"/>
          <w:lang w:val="es-MX"/>
        </w:rPr>
        <w:t xml:space="preserve"> a favor de la institución en que labore, no los ejecute o no realice trámites relativos para su ejecución;</w:t>
      </w:r>
    </w:p>
    <w:p w:rsidR="00403384" w:rsidRPr="00403384" w:rsidRDefault="00403384" w:rsidP="00403384">
      <w:pPr>
        <w:jc w:val="both"/>
        <w:rPr>
          <w:rFonts w:ascii="Arial" w:hAnsi="Arial" w:cs="Arial"/>
          <w:iCs/>
          <w:lang w:val="es-MX"/>
        </w:rPr>
      </w:pPr>
    </w:p>
    <w:p w:rsidR="00432899" w:rsidRPr="00250191" w:rsidRDefault="00DF2579" w:rsidP="00432899">
      <w:pPr>
        <w:pStyle w:val="Prrafodelista"/>
        <w:numPr>
          <w:ilvl w:val="0"/>
          <w:numId w:val="1"/>
        </w:numPr>
        <w:tabs>
          <w:tab w:val="clear" w:pos="1623"/>
          <w:tab w:val="num" w:pos="851"/>
        </w:tabs>
        <w:ind w:left="851" w:hanging="851"/>
        <w:jc w:val="both"/>
        <w:rPr>
          <w:rFonts w:ascii="Arial" w:hAnsi="Arial" w:cs="Arial"/>
          <w:iCs/>
        </w:rPr>
      </w:pPr>
      <w:r>
        <w:rPr>
          <w:rFonts w:ascii="Arial" w:hAnsi="Arial" w:cs="Arial"/>
          <w:iCs/>
          <w:lang w:val="es-MX"/>
        </w:rPr>
        <w:t xml:space="preserve">En virtud de lo anterior resulta indispensable la celebración de un convenio de colaboración entre este Ayuntamiento y el Organismo Público Descentralizado por sus siglas SAPAZA, cuyo objetivo  sea </w:t>
      </w:r>
      <w:r w:rsidR="008F2859">
        <w:rPr>
          <w:rFonts w:ascii="Arial" w:hAnsi="Arial" w:cs="Arial"/>
          <w:iCs/>
          <w:lang w:val="es-MX"/>
        </w:rPr>
        <w:t>que</w:t>
      </w:r>
      <w:r>
        <w:rPr>
          <w:rFonts w:ascii="Arial" w:hAnsi="Arial" w:cs="Arial"/>
          <w:iCs/>
          <w:lang w:val="es-MX"/>
        </w:rPr>
        <w:t xml:space="preserve"> las autoridades fiscales municipales, lleven a cabo y ejerciten las atribuciones y procedimientos </w:t>
      </w:r>
      <w:r w:rsidR="008F2859">
        <w:rPr>
          <w:rFonts w:ascii="Arial" w:hAnsi="Arial" w:cs="Arial"/>
          <w:iCs/>
          <w:lang w:val="es-MX"/>
        </w:rPr>
        <w:t xml:space="preserve">en materia </w:t>
      </w:r>
      <w:r>
        <w:rPr>
          <w:rFonts w:ascii="Arial" w:hAnsi="Arial" w:cs="Arial"/>
          <w:iCs/>
          <w:lang w:val="es-MX"/>
        </w:rPr>
        <w:t>fiscal que señala la propia Ley en cita, lo anterior en virtu</w:t>
      </w:r>
      <w:r w:rsidR="008F2859">
        <w:rPr>
          <w:rFonts w:ascii="Arial" w:hAnsi="Arial" w:cs="Arial"/>
          <w:iCs/>
          <w:lang w:val="es-MX"/>
        </w:rPr>
        <w:t>d de la limitación para el Organismo en materia económica-coactiva conforme a lo dispuesto por el artículo 20 fracción VI de la Ley de Hacienda multicitada.</w:t>
      </w:r>
      <w:r w:rsidR="00432899">
        <w:rPr>
          <w:rFonts w:ascii="Arial" w:hAnsi="Arial" w:cs="Arial"/>
          <w:iCs/>
          <w:lang w:val="es-MX"/>
        </w:rPr>
        <w:t xml:space="preserve"> Pues con la celebración de este convenio, el Encargado de la Hacienda Pública Municipal haría las acciones tendientes a fincar los créditos fiscales, requerir su pago y todas aquellas tendientes a recuperación de los mismos y sus accesorios a favor de</w:t>
      </w:r>
      <w:r w:rsidR="00250191">
        <w:rPr>
          <w:rFonts w:ascii="Arial" w:hAnsi="Arial" w:cs="Arial"/>
          <w:iCs/>
          <w:lang w:val="es-MX"/>
        </w:rPr>
        <w:t xml:space="preserve"> SAPAZA, estableciéndose en el mismo la aplicación de los conceptos que habrán de cubrirse por el deudor para el caso de inicio de procedimiento administrativo de ejecución, su liquidación y a cual de las partes les corresponderán los conceptos efectivamente liquidados conforme a la prelación señalada en la Ley en cita que a la letra señala:  </w:t>
      </w:r>
    </w:p>
    <w:p w:rsidR="00250191" w:rsidRDefault="00250191" w:rsidP="00250191">
      <w:pPr>
        <w:pStyle w:val="Prrafodelista"/>
        <w:tabs>
          <w:tab w:val="left" w:pos="-720"/>
        </w:tabs>
        <w:suppressAutoHyphens/>
        <w:ind w:left="1623"/>
        <w:jc w:val="both"/>
        <w:rPr>
          <w:rFonts w:ascii="Arial" w:hAnsi="Arial" w:cs="Arial"/>
          <w:b/>
          <w:spacing w:val="-3"/>
          <w:sz w:val="20"/>
        </w:rPr>
      </w:pPr>
    </w:p>
    <w:p w:rsidR="00250191" w:rsidRPr="00250191" w:rsidRDefault="00250191" w:rsidP="00250191">
      <w:pPr>
        <w:pStyle w:val="Prrafodelista"/>
        <w:tabs>
          <w:tab w:val="left" w:pos="-720"/>
        </w:tabs>
        <w:suppressAutoHyphens/>
        <w:ind w:left="1623"/>
        <w:jc w:val="both"/>
        <w:rPr>
          <w:rFonts w:ascii="Arial" w:hAnsi="Arial" w:cs="Arial"/>
          <w:i/>
          <w:spacing w:val="-3"/>
          <w:sz w:val="20"/>
        </w:rPr>
      </w:pPr>
      <w:r w:rsidRPr="00250191">
        <w:rPr>
          <w:rFonts w:ascii="Arial" w:hAnsi="Arial" w:cs="Arial"/>
          <w:b/>
          <w:i/>
          <w:spacing w:val="-3"/>
          <w:sz w:val="20"/>
        </w:rPr>
        <w:t>Artículo 54.</w:t>
      </w:r>
      <w:r w:rsidRPr="00250191">
        <w:rPr>
          <w:rFonts w:ascii="Arial" w:hAnsi="Arial" w:cs="Arial"/>
          <w:b/>
          <w:i/>
          <w:spacing w:val="-3"/>
          <w:sz w:val="20"/>
        </w:rPr>
        <w:noBreakHyphen/>
      </w:r>
      <w:r w:rsidRPr="00250191">
        <w:rPr>
          <w:rFonts w:ascii="Arial" w:hAnsi="Arial" w:cs="Arial"/>
          <w:i/>
          <w:spacing w:val="-3"/>
          <w:sz w:val="20"/>
        </w:rPr>
        <w:t xml:space="preserve"> Cuando el crédito fiscal esté constituido por diversos conceptos, los pagos que haga el deudor se aplicarán a cubrirlos, en el siguiente orden:</w:t>
      </w:r>
    </w:p>
    <w:p w:rsidR="00250191" w:rsidRPr="00250191" w:rsidRDefault="00250191" w:rsidP="00250191">
      <w:pPr>
        <w:pStyle w:val="Prrafodelista"/>
        <w:tabs>
          <w:tab w:val="left" w:pos="-720"/>
        </w:tabs>
        <w:suppressAutoHyphens/>
        <w:ind w:left="1623"/>
        <w:jc w:val="both"/>
        <w:rPr>
          <w:rFonts w:ascii="Arial" w:hAnsi="Arial" w:cs="Arial"/>
          <w:i/>
          <w:spacing w:val="-3"/>
          <w:sz w:val="20"/>
        </w:rPr>
      </w:pPr>
    </w:p>
    <w:p w:rsidR="00250191" w:rsidRPr="00250191" w:rsidRDefault="00250191" w:rsidP="00250191">
      <w:pPr>
        <w:pStyle w:val="Prrafodelista"/>
        <w:tabs>
          <w:tab w:val="left" w:pos="-720"/>
          <w:tab w:val="left" w:pos="0"/>
          <w:tab w:val="left" w:pos="284"/>
        </w:tabs>
        <w:suppressAutoHyphens/>
        <w:ind w:left="1623"/>
        <w:jc w:val="both"/>
        <w:rPr>
          <w:rFonts w:ascii="Arial" w:hAnsi="Arial" w:cs="Arial"/>
          <w:i/>
          <w:spacing w:val="-3"/>
          <w:sz w:val="20"/>
        </w:rPr>
      </w:pPr>
      <w:r w:rsidRPr="00250191">
        <w:rPr>
          <w:rFonts w:ascii="Arial" w:hAnsi="Arial" w:cs="Arial"/>
          <w:i/>
          <w:spacing w:val="-3"/>
          <w:sz w:val="20"/>
        </w:rPr>
        <w:t>I.</w:t>
      </w:r>
      <w:r w:rsidRPr="00250191">
        <w:rPr>
          <w:rFonts w:ascii="Arial" w:hAnsi="Arial" w:cs="Arial"/>
          <w:i/>
          <w:spacing w:val="-3"/>
          <w:sz w:val="20"/>
        </w:rPr>
        <w:tab/>
        <w:t>Gastos de ejecución;</w:t>
      </w:r>
    </w:p>
    <w:p w:rsidR="00250191" w:rsidRPr="00250191" w:rsidRDefault="00250191" w:rsidP="00250191">
      <w:pPr>
        <w:pStyle w:val="Prrafodelista"/>
        <w:tabs>
          <w:tab w:val="left" w:pos="-720"/>
          <w:tab w:val="left" w:pos="284"/>
        </w:tabs>
        <w:suppressAutoHyphens/>
        <w:ind w:left="1623"/>
        <w:jc w:val="both"/>
        <w:rPr>
          <w:rFonts w:ascii="Arial" w:hAnsi="Arial" w:cs="Arial"/>
          <w:i/>
          <w:spacing w:val="-3"/>
          <w:sz w:val="20"/>
        </w:rPr>
      </w:pPr>
    </w:p>
    <w:p w:rsidR="00250191" w:rsidRPr="00250191" w:rsidRDefault="00250191" w:rsidP="00250191">
      <w:pPr>
        <w:pStyle w:val="Prrafodelista"/>
        <w:tabs>
          <w:tab w:val="left" w:pos="-720"/>
          <w:tab w:val="left" w:pos="0"/>
          <w:tab w:val="left" w:pos="284"/>
        </w:tabs>
        <w:suppressAutoHyphens/>
        <w:ind w:left="1623"/>
        <w:jc w:val="both"/>
        <w:rPr>
          <w:rFonts w:ascii="Arial" w:hAnsi="Arial" w:cs="Arial"/>
          <w:i/>
          <w:spacing w:val="-3"/>
          <w:sz w:val="20"/>
        </w:rPr>
      </w:pPr>
      <w:r w:rsidRPr="00250191">
        <w:rPr>
          <w:rFonts w:ascii="Arial" w:hAnsi="Arial" w:cs="Arial"/>
          <w:i/>
          <w:spacing w:val="-3"/>
          <w:sz w:val="20"/>
        </w:rPr>
        <w:t>II.</w:t>
      </w:r>
      <w:r w:rsidRPr="00250191">
        <w:rPr>
          <w:rFonts w:ascii="Arial" w:hAnsi="Arial" w:cs="Arial"/>
          <w:i/>
          <w:spacing w:val="-3"/>
          <w:sz w:val="20"/>
        </w:rPr>
        <w:tab/>
        <w:t>Los recargos y las multas; y</w:t>
      </w:r>
    </w:p>
    <w:p w:rsidR="00250191" w:rsidRPr="00250191" w:rsidRDefault="00250191" w:rsidP="00250191">
      <w:pPr>
        <w:pStyle w:val="Prrafodelista"/>
        <w:tabs>
          <w:tab w:val="left" w:pos="-720"/>
          <w:tab w:val="left" w:pos="284"/>
        </w:tabs>
        <w:suppressAutoHyphens/>
        <w:ind w:left="1623"/>
        <w:jc w:val="both"/>
        <w:rPr>
          <w:rFonts w:ascii="Arial" w:hAnsi="Arial" w:cs="Arial"/>
          <w:i/>
          <w:spacing w:val="-3"/>
          <w:sz w:val="20"/>
        </w:rPr>
      </w:pPr>
    </w:p>
    <w:p w:rsidR="00250191" w:rsidRPr="00250191" w:rsidRDefault="00250191" w:rsidP="00250191">
      <w:pPr>
        <w:pStyle w:val="Prrafodelista"/>
        <w:tabs>
          <w:tab w:val="left" w:pos="-720"/>
          <w:tab w:val="left" w:pos="0"/>
          <w:tab w:val="left" w:pos="284"/>
        </w:tabs>
        <w:suppressAutoHyphens/>
        <w:ind w:left="1623"/>
        <w:jc w:val="both"/>
        <w:rPr>
          <w:rFonts w:ascii="Arial" w:hAnsi="Arial" w:cs="Arial"/>
          <w:i/>
          <w:spacing w:val="-3"/>
          <w:sz w:val="20"/>
        </w:rPr>
      </w:pPr>
      <w:r w:rsidRPr="00250191">
        <w:rPr>
          <w:rFonts w:ascii="Arial" w:hAnsi="Arial" w:cs="Arial"/>
          <w:i/>
          <w:spacing w:val="-3"/>
          <w:sz w:val="20"/>
        </w:rPr>
        <w:t>III.</w:t>
      </w:r>
      <w:r w:rsidRPr="00250191">
        <w:rPr>
          <w:rFonts w:ascii="Arial" w:hAnsi="Arial" w:cs="Arial"/>
          <w:i/>
          <w:spacing w:val="-3"/>
          <w:sz w:val="20"/>
        </w:rPr>
        <w:tab/>
        <w:t>Los impuestos, contribuciones especiales, derechos, productos y aprovechamientos distintos de los señalados en la fracción anterior, por orden de antigüedad.</w:t>
      </w:r>
    </w:p>
    <w:p w:rsidR="00432899" w:rsidRDefault="00432899" w:rsidP="00432899">
      <w:pPr>
        <w:jc w:val="both"/>
        <w:rPr>
          <w:rFonts w:ascii="Arial" w:hAnsi="Arial" w:cs="Arial"/>
          <w:iCs/>
        </w:rPr>
      </w:pPr>
    </w:p>
    <w:p w:rsidR="00432899" w:rsidRPr="00432899" w:rsidRDefault="00432899" w:rsidP="00432899">
      <w:pPr>
        <w:jc w:val="both"/>
        <w:rPr>
          <w:rFonts w:ascii="Arial" w:hAnsi="Arial" w:cs="Arial"/>
          <w:iCs/>
        </w:rPr>
      </w:pPr>
    </w:p>
    <w:p w:rsidR="006433E4" w:rsidRDefault="00250191" w:rsidP="00250191">
      <w:pPr>
        <w:jc w:val="both"/>
        <w:rPr>
          <w:rFonts w:ascii="Arial" w:hAnsi="Arial" w:cs="Arial"/>
          <w:iCs/>
          <w:lang w:val="es-MX"/>
        </w:rPr>
      </w:pPr>
      <w:r>
        <w:rPr>
          <w:rFonts w:ascii="Arial" w:hAnsi="Arial" w:cs="Arial"/>
          <w:iCs/>
          <w:lang w:val="es-MX"/>
        </w:rPr>
        <w:t>Dicho convenio persigue como único</w:t>
      </w:r>
      <w:r w:rsidR="008F2859" w:rsidRPr="00432899">
        <w:rPr>
          <w:rFonts w:ascii="Arial" w:hAnsi="Arial" w:cs="Arial"/>
          <w:iCs/>
          <w:lang w:val="es-MX"/>
        </w:rPr>
        <w:t xml:space="preserve"> el único fin</w:t>
      </w:r>
      <w:r>
        <w:rPr>
          <w:rFonts w:ascii="Arial" w:hAnsi="Arial" w:cs="Arial"/>
          <w:iCs/>
          <w:lang w:val="es-MX"/>
        </w:rPr>
        <w:t xml:space="preserve">, </w:t>
      </w:r>
      <w:r w:rsidR="008F2859" w:rsidRPr="00432899">
        <w:rPr>
          <w:rFonts w:ascii="Arial" w:hAnsi="Arial" w:cs="Arial"/>
          <w:iCs/>
          <w:lang w:val="es-MX"/>
        </w:rPr>
        <w:t>de evitar la prescripción de los créditos</w:t>
      </w:r>
      <w:r>
        <w:rPr>
          <w:rFonts w:ascii="Arial" w:hAnsi="Arial" w:cs="Arial"/>
          <w:iCs/>
          <w:lang w:val="es-MX"/>
        </w:rPr>
        <w:t>, realizar las gestiones de cobro en</w:t>
      </w:r>
      <w:r w:rsidR="008F2859" w:rsidRPr="00432899">
        <w:rPr>
          <w:rFonts w:ascii="Arial" w:hAnsi="Arial" w:cs="Arial"/>
          <w:iCs/>
          <w:lang w:val="es-MX"/>
        </w:rPr>
        <w:t xml:space="preserve"> defensa de los </w:t>
      </w:r>
      <w:r>
        <w:rPr>
          <w:rFonts w:ascii="Arial" w:hAnsi="Arial" w:cs="Arial"/>
          <w:iCs/>
          <w:lang w:val="es-MX"/>
        </w:rPr>
        <w:t xml:space="preserve">intereses del propio organismo, toda vez que éste se encuentra limitado por la Ley para realizar dichas acciones legales. </w:t>
      </w:r>
    </w:p>
    <w:p w:rsidR="006433E4" w:rsidRPr="00250191" w:rsidRDefault="006433E4" w:rsidP="00250191">
      <w:pPr>
        <w:rPr>
          <w:rFonts w:ascii="Arial" w:hAnsi="Arial" w:cs="Arial"/>
          <w:iCs/>
        </w:rPr>
      </w:pPr>
    </w:p>
    <w:p w:rsidR="006433E4" w:rsidRDefault="006433E4" w:rsidP="006433E4">
      <w:pPr>
        <w:pStyle w:val="Prrafodelista"/>
        <w:rPr>
          <w:rFonts w:ascii="Arial" w:hAnsi="Arial" w:cs="Arial"/>
        </w:rPr>
      </w:pPr>
    </w:p>
    <w:p w:rsidR="006433E4" w:rsidRDefault="006433E4" w:rsidP="006433E4">
      <w:pPr>
        <w:pStyle w:val="Prrafodelista"/>
        <w:jc w:val="center"/>
        <w:rPr>
          <w:rFonts w:ascii="Arial" w:hAnsi="Arial" w:cs="Arial"/>
          <w:b/>
        </w:rPr>
      </w:pPr>
      <w:r w:rsidRPr="00C0537F">
        <w:rPr>
          <w:rFonts w:ascii="Arial" w:hAnsi="Arial" w:cs="Arial"/>
          <w:b/>
        </w:rPr>
        <w:t>CONSIDERACIONES</w:t>
      </w:r>
    </w:p>
    <w:p w:rsidR="006433E4" w:rsidRDefault="006433E4" w:rsidP="006433E4">
      <w:pPr>
        <w:pStyle w:val="Prrafodelista"/>
        <w:jc w:val="center"/>
        <w:rPr>
          <w:rFonts w:ascii="Arial" w:hAnsi="Arial" w:cs="Arial"/>
          <w:b/>
        </w:rPr>
      </w:pPr>
    </w:p>
    <w:p w:rsidR="006433E4" w:rsidRDefault="006433E4" w:rsidP="006433E4">
      <w:pPr>
        <w:ind w:firstLine="708"/>
        <w:jc w:val="both"/>
        <w:rPr>
          <w:rFonts w:ascii="Arial" w:hAnsi="Arial" w:cs="Arial"/>
          <w:iCs/>
        </w:rPr>
      </w:pPr>
      <w:r w:rsidRPr="00C0537F">
        <w:rPr>
          <w:rFonts w:ascii="Arial" w:hAnsi="Arial" w:cs="Arial"/>
        </w:rPr>
        <w:t xml:space="preserve">Por </w:t>
      </w:r>
      <w:r>
        <w:rPr>
          <w:rFonts w:ascii="Arial" w:hAnsi="Arial" w:cs="Arial"/>
        </w:rPr>
        <w:t xml:space="preserve">lo anteriormente expuesto, y de conformidad a lo dispuesto por el artículo 87 fracción II del Reglamento Interior del Ayuntamiento, </w:t>
      </w:r>
      <w:r>
        <w:rPr>
          <w:rFonts w:ascii="Arial" w:hAnsi="Arial" w:cs="Arial"/>
          <w:iCs/>
        </w:rPr>
        <w:t>Jalisco, tengo a proponer los siguientes</w:t>
      </w:r>
    </w:p>
    <w:p w:rsidR="006433E4" w:rsidRDefault="006433E4" w:rsidP="006433E4">
      <w:pPr>
        <w:ind w:firstLine="708"/>
        <w:jc w:val="center"/>
        <w:rPr>
          <w:rFonts w:ascii="Arial" w:hAnsi="Arial" w:cs="Arial"/>
          <w:iCs/>
        </w:rPr>
      </w:pPr>
    </w:p>
    <w:p w:rsidR="006433E4" w:rsidRPr="00DB5A65" w:rsidRDefault="006433E4" w:rsidP="006433E4">
      <w:pPr>
        <w:ind w:firstLine="708"/>
        <w:jc w:val="center"/>
        <w:rPr>
          <w:rFonts w:ascii="Arial" w:hAnsi="Arial" w:cs="Arial"/>
          <w:b/>
          <w:iCs/>
        </w:rPr>
      </w:pPr>
      <w:r w:rsidRPr="00DB5A65">
        <w:rPr>
          <w:rFonts w:ascii="Arial" w:hAnsi="Arial" w:cs="Arial"/>
          <w:b/>
          <w:iCs/>
        </w:rPr>
        <w:t>PUNTOS DE ACUERDO ECONÓMICO</w:t>
      </w:r>
    </w:p>
    <w:p w:rsidR="006433E4" w:rsidRDefault="007F1761" w:rsidP="006433E4">
      <w:pPr>
        <w:ind w:firstLine="708"/>
        <w:jc w:val="both"/>
        <w:rPr>
          <w:rFonts w:ascii="Arial" w:hAnsi="Arial" w:cs="Arial"/>
          <w:iCs/>
        </w:rPr>
      </w:pPr>
      <w:r>
        <w:rPr>
          <w:rFonts w:ascii="Arial" w:hAnsi="Arial" w:cs="Arial"/>
          <w:b/>
          <w:iCs/>
        </w:rPr>
        <w:t>ÚNICO</w:t>
      </w:r>
      <w:r w:rsidR="006433E4" w:rsidRPr="009E5F71">
        <w:rPr>
          <w:rFonts w:ascii="Arial" w:hAnsi="Arial" w:cs="Arial"/>
          <w:b/>
          <w:iCs/>
        </w:rPr>
        <w:t xml:space="preserve">: </w:t>
      </w:r>
      <w:r w:rsidR="006433E4" w:rsidRPr="00122C81">
        <w:rPr>
          <w:rFonts w:ascii="Arial" w:hAnsi="Arial" w:cs="Arial"/>
          <w:iCs/>
        </w:rPr>
        <w:t xml:space="preserve">Se </w:t>
      </w:r>
      <w:r w:rsidR="006433E4">
        <w:rPr>
          <w:rFonts w:ascii="Arial" w:hAnsi="Arial" w:cs="Arial"/>
          <w:iCs/>
        </w:rPr>
        <w:t xml:space="preserve">turne a las </w:t>
      </w:r>
      <w:r w:rsidR="006433E4" w:rsidRPr="00E5179C">
        <w:rPr>
          <w:rFonts w:ascii="Arial" w:hAnsi="Arial" w:cs="Arial"/>
          <w:iCs/>
        </w:rPr>
        <w:t xml:space="preserve">Comisiones Edilicias de </w:t>
      </w:r>
      <w:r w:rsidR="00250191">
        <w:rPr>
          <w:rFonts w:ascii="Arial" w:hAnsi="Arial" w:cs="Arial"/>
          <w:iCs/>
        </w:rPr>
        <w:t xml:space="preserve">Agua Potable y Saneamiento en conjunto con la Comisión de Hacienda Pública y Patrimonio </w:t>
      </w:r>
      <w:r>
        <w:rPr>
          <w:rFonts w:ascii="Arial" w:hAnsi="Arial" w:cs="Arial"/>
          <w:iCs/>
        </w:rPr>
        <w:t>Muni</w:t>
      </w:r>
      <w:r w:rsidR="00250191">
        <w:rPr>
          <w:rFonts w:ascii="Arial" w:hAnsi="Arial" w:cs="Arial"/>
          <w:iCs/>
        </w:rPr>
        <w:t>cipal</w:t>
      </w:r>
      <w:r>
        <w:rPr>
          <w:rFonts w:ascii="Arial" w:hAnsi="Arial" w:cs="Arial"/>
          <w:iCs/>
        </w:rPr>
        <w:t xml:space="preserve">; para que se analice, estudie y dictamine la propuesta de celebración de convenio de colaboración entre este Ayuntamiento y SAPAZA para que el encargado de la Hacienda Pública Municipal realice acciones en materia económica-coactiva con relación a la cartera vencida a favor del Organismo en cita. </w:t>
      </w:r>
    </w:p>
    <w:p w:rsidR="007F1761" w:rsidRDefault="007F1761" w:rsidP="006433E4">
      <w:pPr>
        <w:ind w:firstLine="708"/>
        <w:jc w:val="both"/>
        <w:rPr>
          <w:rFonts w:ascii="Arial" w:hAnsi="Arial" w:cs="Arial"/>
          <w:iCs/>
        </w:rPr>
      </w:pPr>
    </w:p>
    <w:p w:rsidR="006433E4" w:rsidRPr="008909E6" w:rsidRDefault="006433E4" w:rsidP="006433E4">
      <w:pPr>
        <w:ind w:firstLine="708"/>
        <w:jc w:val="both"/>
        <w:rPr>
          <w:rFonts w:ascii="Arial" w:hAnsi="Arial" w:cs="Arial"/>
          <w:iCs/>
        </w:rPr>
      </w:pPr>
      <w:r>
        <w:rPr>
          <w:rFonts w:ascii="Arial" w:hAnsi="Arial" w:cs="Arial"/>
          <w:iCs/>
        </w:rPr>
        <w:t xml:space="preserve"> </w:t>
      </w:r>
    </w:p>
    <w:p w:rsidR="006433E4" w:rsidRDefault="006433E4" w:rsidP="006433E4">
      <w:pPr>
        <w:ind w:firstLine="708"/>
        <w:jc w:val="both"/>
        <w:rPr>
          <w:rFonts w:ascii="Arial" w:hAnsi="Arial" w:cs="Arial"/>
          <w:iCs/>
        </w:rPr>
      </w:pPr>
    </w:p>
    <w:p w:rsidR="006433E4" w:rsidRDefault="006433E4" w:rsidP="006433E4">
      <w:pPr>
        <w:ind w:firstLine="708"/>
        <w:jc w:val="both"/>
        <w:rPr>
          <w:rFonts w:ascii="Arial" w:hAnsi="Arial" w:cs="Arial"/>
          <w:bCs/>
        </w:rPr>
      </w:pPr>
    </w:p>
    <w:p w:rsidR="006433E4" w:rsidRDefault="006433E4" w:rsidP="006433E4">
      <w:pPr>
        <w:ind w:firstLine="708"/>
        <w:jc w:val="center"/>
        <w:rPr>
          <w:rFonts w:ascii="Arial" w:hAnsi="Arial" w:cs="Arial"/>
          <w:iCs/>
        </w:rPr>
      </w:pPr>
      <w:r>
        <w:rPr>
          <w:rFonts w:ascii="Arial" w:hAnsi="Arial" w:cs="Arial"/>
          <w:iCs/>
        </w:rPr>
        <w:t>ATENTAMENTE</w:t>
      </w:r>
    </w:p>
    <w:p w:rsidR="006433E4" w:rsidRDefault="006433E4" w:rsidP="006433E4">
      <w:pPr>
        <w:ind w:firstLine="708"/>
        <w:jc w:val="center"/>
        <w:rPr>
          <w:rFonts w:ascii="Arial" w:hAnsi="Arial" w:cs="Arial"/>
          <w:b/>
          <w:iCs/>
        </w:rPr>
      </w:pPr>
      <w:r>
        <w:rPr>
          <w:rFonts w:ascii="Arial" w:hAnsi="Arial" w:cs="Arial"/>
          <w:b/>
          <w:iCs/>
        </w:rPr>
        <w:t>“SUFRAGIO EFECTIVO. NO REELECCIÓN”</w:t>
      </w:r>
    </w:p>
    <w:p w:rsidR="006433E4" w:rsidRDefault="006433E4" w:rsidP="006433E4">
      <w:pPr>
        <w:ind w:firstLine="708"/>
        <w:jc w:val="center"/>
        <w:rPr>
          <w:rFonts w:ascii="Arial" w:hAnsi="Arial" w:cs="Arial"/>
          <w:iCs/>
        </w:rPr>
      </w:pPr>
      <w:r w:rsidRPr="00910390">
        <w:rPr>
          <w:rFonts w:ascii="Arial" w:hAnsi="Arial" w:cs="Arial"/>
          <w:iCs/>
        </w:rPr>
        <w:t xml:space="preserve">Ciudad Guzmán, Municipio de Zapotlán el Grande, Jalisco, </w:t>
      </w:r>
      <w:r w:rsidR="007F1761">
        <w:rPr>
          <w:rFonts w:ascii="Arial" w:hAnsi="Arial" w:cs="Arial"/>
          <w:iCs/>
        </w:rPr>
        <w:t>13 de febrero de 2017.</w:t>
      </w:r>
    </w:p>
    <w:p w:rsidR="006433E4" w:rsidRDefault="006433E4" w:rsidP="006433E4">
      <w:pPr>
        <w:ind w:firstLine="708"/>
        <w:jc w:val="center"/>
        <w:rPr>
          <w:rFonts w:ascii="Arial" w:hAnsi="Arial" w:cs="Arial"/>
          <w:iCs/>
        </w:rPr>
      </w:pPr>
    </w:p>
    <w:p w:rsidR="006433E4" w:rsidRDefault="006433E4" w:rsidP="006433E4">
      <w:pPr>
        <w:ind w:firstLine="708"/>
        <w:jc w:val="center"/>
        <w:rPr>
          <w:rFonts w:ascii="Arial" w:hAnsi="Arial" w:cs="Arial"/>
          <w:b/>
          <w:iCs/>
        </w:rPr>
      </w:pPr>
    </w:p>
    <w:p w:rsidR="006433E4" w:rsidRDefault="007F1761" w:rsidP="006433E4">
      <w:pPr>
        <w:pStyle w:val="Prrafodelista"/>
        <w:jc w:val="center"/>
        <w:rPr>
          <w:rFonts w:ascii="Arial" w:hAnsi="Arial" w:cs="Arial"/>
          <w:b/>
        </w:rPr>
      </w:pPr>
      <w:r>
        <w:rPr>
          <w:rFonts w:ascii="Arial" w:hAnsi="Arial" w:cs="Arial"/>
          <w:b/>
        </w:rPr>
        <w:t>C. ERNESTO DOMINGUEZ LÓPEZ</w:t>
      </w:r>
    </w:p>
    <w:p w:rsidR="002427B5" w:rsidRPr="007F1761" w:rsidRDefault="007F1761" w:rsidP="007F1761">
      <w:pPr>
        <w:jc w:val="center"/>
        <w:rPr>
          <w:rFonts w:ascii="Arial" w:hAnsi="Arial" w:cs="Arial"/>
        </w:rPr>
      </w:pPr>
      <w:r w:rsidRPr="007F1761">
        <w:rPr>
          <w:rFonts w:ascii="Arial" w:hAnsi="Arial" w:cs="Arial"/>
        </w:rPr>
        <w:t>Regidor Presidente de la H. comisión Edilicia de Agua Potable y Saneamiento.</w:t>
      </w:r>
      <w:bookmarkStart w:id="0" w:name="_GoBack"/>
      <w:bookmarkEnd w:id="0"/>
    </w:p>
    <w:sectPr w:rsidR="002427B5" w:rsidRPr="007F1761" w:rsidSect="00383ACB">
      <w:pgSz w:w="12240" w:h="15840"/>
      <w:pgMar w:top="2552"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CA2"/>
    <w:multiLevelType w:val="hybridMultilevel"/>
    <w:tmpl w:val="F320AF04"/>
    <w:lvl w:ilvl="0" w:tplc="5A980144">
      <w:start w:val="1"/>
      <w:numFmt w:val="upperRoman"/>
      <w:lvlText w:val="%1."/>
      <w:lvlJc w:val="left"/>
      <w:pPr>
        <w:ind w:left="2343" w:hanging="720"/>
      </w:pPr>
      <w:rPr>
        <w:rFonts w:hint="default"/>
      </w:rPr>
    </w:lvl>
    <w:lvl w:ilvl="1" w:tplc="080A0019" w:tentative="1">
      <w:start w:val="1"/>
      <w:numFmt w:val="lowerLetter"/>
      <w:lvlText w:val="%2."/>
      <w:lvlJc w:val="left"/>
      <w:pPr>
        <w:ind w:left="2703" w:hanging="360"/>
      </w:pPr>
    </w:lvl>
    <w:lvl w:ilvl="2" w:tplc="080A001B" w:tentative="1">
      <w:start w:val="1"/>
      <w:numFmt w:val="lowerRoman"/>
      <w:lvlText w:val="%3."/>
      <w:lvlJc w:val="right"/>
      <w:pPr>
        <w:ind w:left="3423" w:hanging="180"/>
      </w:pPr>
    </w:lvl>
    <w:lvl w:ilvl="3" w:tplc="080A000F" w:tentative="1">
      <w:start w:val="1"/>
      <w:numFmt w:val="decimal"/>
      <w:lvlText w:val="%4."/>
      <w:lvlJc w:val="left"/>
      <w:pPr>
        <w:ind w:left="4143" w:hanging="360"/>
      </w:pPr>
    </w:lvl>
    <w:lvl w:ilvl="4" w:tplc="080A0019" w:tentative="1">
      <w:start w:val="1"/>
      <w:numFmt w:val="lowerLetter"/>
      <w:lvlText w:val="%5."/>
      <w:lvlJc w:val="left"/>
      <w:pPr>
        <w:ind w:left="4863" w:hanging="360"/>
      </w:pPr>
    </w:lvl>
    <w:lvl w:ilvl="5" w:tplc="080A001B" w:tentative="1">
      <w:start w:val="1"/>
      <w:numFmt w:val="lowerRoman"/>
      <w:lvlText w:val="%6."/>
      <w:lvlJc w:val="right"/>
      <w:pPr>
        <w:ind w:left="5583" w:hanging="180"/>
      </w:pPr>
    </w:lvl>
    <w:lvl w:ilvl="6" w:tplc="080A000F" w:tentative="1">
      <w:start w:val="1"/>
      <w:numFmt w:val="decimal"/>
      <w:lvlText w:val="%7."/>
      <w:lvlJc w:val="left"/>
      <w:pPr>
        <w:ind w:left="6303" w:hanging="360"/>
      </w:pPr>
    </w:lvl>
    <w:lvl w:ilvl="7" w:tplc="080A0019" w:tentative="1">
      <w:start w:val="1"/>
      <w:numFmt w:val="lowerLetter"/>
      <w:lvlText w:val="%8."/>
      <w:lvlJc w:val="left"/>
      <w:pPr>
        <w:ind w:left="7023" w:hanging="360"/>
      </w:pPr>
    </w:lvl>
    <w:lvl w:ilvl="8" w:tplc="080A001B" w:tentative="1">
      <w:start w:val="1"/>
      <w:numFmt w:val="lowerRoman"/>
      <w:lvlText w:val="%9."/>
      <w:lvlJc w:val="right"/>
      <w:pPr>
        <w:ind w:left="7743" w:hanging="180"/>
      </w:pPr>
    </w:lvl>
  </w:abstractNum>
  <w:abstractNum w:abstractNumId="1">
    <w:nsid w:val="16137D2A"/>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1BF83482"/>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31A70584"/>
    <w:multiLevelType w:val="singleLevel"/>
    <w:tmpl w:val="894EF4B4"/>
    <w:lvl w:ilvl="0">
      <w:start w:val="4"/>
      <w:numFmt w:val="upperRoman"/>
      <w:lvlText w:val="%1. "/>
      <w:legacy w:legacy="1" w:legacySpace="0" w:legacyIndent="283"/>
      <w:lvlJc w:val="left"/>
      <w:pPr>
        <w:ind w:left="1003" w:hanging="283"/>
      </w:pPr>
      <w:rPr>
        <w:rFonts w:ascii="Times New Roman" w:hAnsi="Times New Roman" w:hint="default"/>
        <w:b w:val="0"/>
        <w:i w:val="0"/>
        <w:sz w:val="24"/>
      </w:rPr>
    </w:lvl>
  </w:abstractNum>
  <w:abstractNum w:abstractNumId="4">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E4"/>
    <w:rsid w:val="000A1391"/>
    <w:rsid w:val="002427B5"/>
    <w:rsid w:val="00250191"/>
    <w:rsid w:val="00403384"/>
    <w:rsid w:val="00432899"/>
    <w:rsid w:val="006433E4"/>
    <w:rsid w:val="007F1761"/>
    <w:rsid w:val="008F2859"/>
    <w:rsid w:val="00B21AD9"/>
    <w:rsid w:val="00D055D1"/>
    <w:rsid w:val="00D15CAA"/>
    <w:rsid w:val="00D67EB3"/>
    <w:rsid w:val="00DF25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3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1144</Words>
  <Characters>6294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Karla Cisneros Torres</cp:lastModifiedBy>
  <cp:revision>1</cp:revision>
  <dcterms:created xsi:type="dcterms:W3CDTF">2017-02-13T15:21:00Z</dcterms:created>
  <dcterms:modified xsi:type="dcterms:W3CDTF">2017-02-13T18:30:00Z</dcterms:modified>
</cp:coreProperties>
</file>