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1C" w:rsidRDefault="00187E1C" w:rsidP="00C67EF8">
      <w:pPr>
        <w:rPr>
          <w:sz w:val="28"/>
          <w:szCs w:val="28"/>
        </w:rPr>
      </w:pPr>
    </w:p>
    <w:p w:rsidR="00F7502F" w:rsidRDefault="00F7502F" w:rsidP="008A47D6">
      <w:pPr>
        <w:jc w:val="center"/>
        <w:rPr>
          <w:sz w:val="28"/>
          <w:szCs w:val="28"/>
        </w:rPr>
      </w:pPr>
      <w:bookmarkStart w:id="0" w:name="_GoBack"/>
      <w:bookmarkEnd w:id="0"/>
    </w:p>
    <w:p w:rsidR="004C6B00" w:rsidRDefault="004C6B00" w:rsidP="004C6B00">
      <w:pPr>
        <w:jc w:val="center"/>
        <w:rPr>
          <w:sz w:val="28"/>
          <w:szCs w:val="28"/>
        </w:rPr>
      </w:pPr>
    </w:p>
    <w:p w:rsidR="004C6B00" w:rsidRPr="005631FC" w:rsidRDefault="004C6B00" w:rsidP="004C6B00">
      <w:pPr>
        <w:jc w:val="center"/>
        <w:rPr>
          <w:sz w:val="28"/>
          <w:szCs w:val="28"/>
        </w:rPr>
      </w:pPr>
      <w:r>
        <w:rPr>
          <w:sz w:val="28"/>
          <w:szCs w:val="28"/>
        </w:rPr>
        <w:t xml:space="preserve">ORDEN DEL DIA </w:t>
      </w:r>
      <w:r w:rsidRPr="005631FC">
        <w:rPr>
          <w:sz w:val="28"/>
          <w:szCs w:val="28"/>
        </w:rPr>
        <w:t xml:space="preserve"> </w:t>
      </w:r>
      <w:r w:rsidR="00066C88">
        <w:rPr>
          <w:sz w:val="28"/>
          <w:szCs w:val="28"/>
        </w:rPr>
        <w:t>DE</w:t>
      </w:r>
      <w:r>
        <w:rPr>
          <w:sz w:val="28"/>
          <w:szCs w:val="28"/>
        </w:rPr>
        <w:t xml:space="preserve"> LA </w:t>
      </w:r>
      <w:r w:rsidR="00066C88">
        <w:rPr>
          <w:sz w:val="28"/>
          <w:szCs w:val="28"/>
        </w:rPr>
        <w:t>REUNION</w:t>
      </w:r>
      <w:r>
        <w:rPr>
          <w:sz w:val="28"/>
          <w:szCs w:val="28"/>
        </w:rPr>
        <w:t xml:space="preserve"> INFORMATIVA DEL COMITÉ ESPECIFICO DE ADJUDICACION DE LA CONCESION DEL PROYECTO DE MODERNIZACION SUSTENTABLE DEL SISTEMA DE ALUMBRADO PUBLICO PARA EL MUNCIIPIO DE ZAPOTLAN EL GRANDE, JALISCO. INCLUYENDO SU SUSTITUCION, MANTENIMIENTO Y OPERACIÓN </w:t>
      </w:r>
    </w:p>
    <w:p w:rsidR="004C6B00" w:rsidRPr="005D3521" w:rsidRDefault="004C6B00" w:rsidP="004C6B00">
      <w:pPr>
        <w:jc w:val="center"/>
      </w:pPr>
    </w:p>
    <w:p w:rsidR="004C6B00" w:rsidRDefault="004C6B00" w:rsidP="004C6B00">
      <w:pPr>
        <w:jc w:val="center"/>
        <w:rPr>
          <w:rFonts w:cstheme="minorHAnsi"/>
          <w:b/>
        </w:rPr>
      </w:pPr>
    </w:p>
    <w:p w:rsidR="004C6B00" w:rsidRPr="005D3521" w:rsidRDefault="004C6B00" w:rsidP="004C6B00">
      <w:pPr>
        <w:jc w:val="center"/>
        <w:rPr>
          <w:rFonts w:cstheme="minorHAnsi"/>
          <w:b/>
        </w:rPr>
      </w:pPr>
      <w:r>
        <w:rPr>
          <w:rFonts w:cstheme="minorHAnsi"/>
          <w:b/>
        </w:rPr>
        <w:t>25 DE JUNIO  DEL AÑO  2020</w:t>
      </w:r>
      <w:r w:rsidRPr="005D3521">
        <w:rPr>
          <w:rFonts w:cstheme="minorHAnsi"/>
          <w:b/>
        </w:rPr>
        <w:t xml:space="preserve">  </w:t>
      </w:r>
    </w:p>
    <w:p w:rsidR="004C6B00" w:rsidRPr="004E64C3" w:rsidRDefault="004C6B00" w:rsidP="004C6B00">
      <w:pPr>
        <w:jc w:val="center"/>
        <w:rPr>
          <w:lang w:val="es-MX"/>
        </w:rPr>
      </w:pPr>
      <w:r>
        <w:rPr>
          <w:lang w:val="es-MX"/>
        </w:rPr>
        <w:t xml:space="preserve">Sala Maria Elena Larios Gonzalez </w:t>
      </w:r>
    </w:p>
    <w:p w:rsidR="004C6B00" w:rsidRPr="005D3521" w:rsidRDefault="004C6B00" w:rsidP="004C6B00">
      <w:pPr>
        <w:jc w:val="center"/>
        <w:rPr>
          <w:rFonts w:cstheme="minorHAnsi"/>
          <w:b/>
        </w:rPr>
      </w:pPr>
      <w:r>
        <w:rPr>
          <w:rFonts w:cstheme="minorHAnsi"/>
          <w:b/>
        </w:rPr>
        <w:t>10:00</w:t>
      </w:r>
      <w:r w:rsidRPr="005D3521">
        <w:rPr>
          <w:rFonts w:cstheme="minorHAnsi"/>
          <w:b/>
        </w:rPr>
        <w:t xml:space="preserve">  HORAS</w:t>
      </w:r>
    </w:p>
    <w:p w:rsidR="001A299D" w:rsidRPr="00F56E74" w:rsidRDefault="001A299D" w:rsidP="001A299D">
      <w:pPr>
        <w:jc w:val="both"/>
        <w:rPr>
          <w:sz w:val="28"/>
          <w:szCs w:val="28"/>
        </w:rPr>
      </w:pPr>
    </w:p>
    <w:p w:rsidR="004142FA" w:rsidRPr="00EE17A2" w:rsidRDefault="004142FA" w:rsidP="004142FA">
      <w:pPr>
        <w:jc w:val="both"/>
        <w:rPr>
          <w:sz w:val="20"/>
          <w:szCs w:val="20"/>
        </w:rPr>
      </w:pPr>
    </w:p>
    <w:p w:rsidR="00147458" w:rsidRPr="00147458" w:rsidRDefault="00147458" w:rsidP="00147458">
      <w:pPr>
        <w:jc w:val="center"/>
        <w:rPr>
          <w:b/>
          <w:noProof w:val="0"/>
          <w:sz w:val="28"/>
          <w:szCs w:val="28"/>
          <w:lang w:val="es-MX"/>
        </w:rPr>
      </w:pPr>
      <w:r w:rsidRPr="00147458">
        <w:rPr>
          <w:b/>
          <w:noProof w:val="0"/>
          <w:sz w:val="28"/>
          <w:szCs w:val="28"/>
          <w:lang w:val="es-MX"/>
        </w:rPr>
        <w:t>ORDEN DEL DIA</w:t>
      </w:r>
    </w:p>
    <w:p w:rsidR="00147458" w:rsidRPr="00147458" w:rsidRDefault="00147458" w:rsidP="00147458">
      <w:pPr>
        <w:jc w:val="center"/>
        <w:rPr>
          <w:noProof w:val="0"/>
          <w:sz w:val="22"/>
          <w:szCs w:val="22"/>
          <w:lang w:val="es-MX"/>
        </w:rPr>
      </w:pPr>
      <w:r w:rsidRPr="00147458">
        <w:rPr>
          <w:noProof w:val="0"/>
          <w:sz w:val="22"/>
          <w:szCs w:val="22"/>
          <w:lang w:val="es-MX"/>
        </w:rPr>
        <w:t xml:space="preserve"> </w:t>
      </w:r>
    </w:p>
    <w:p w:rsidR="00147458" w:rsidRPr="00147458" w:rsidRDefault="00147458" w:rsidP="00147458">
      <w:pPr>
        <w:numPr>
          <w:ilvl w:val="0"/>
          <w:numId w:val="2"/>
        </w:numPr>
        <w:ind w:left="1070"/>
        <w:contextualSpacing/>
        <w:jc w:val="both"/>
        <w:rPr>
          <w:rFonts w:eastAsiaTheme="minorHAnsi"/>
          <w:noProof w:val="0"/>
          <w:sz w:val="28"/>
          <w:szCs w:val="28"/>
          <w:lang w:val="es-MX" w:eastAsia="en-US"/>
        </w:rPr>
      </w:pPr>
      <w:r w:rsidRPr="00147458">
        <w:rPr>
          <w:rFonts w:eastAsiaTheme="minorHAnsi"/>
          <w:noProof w:val="0"/>
          <w:sz w:val="28"/>
          <w:szCs w:val="28"/>
          <w:lang w:val="es-MX" w:eastAsia="en-US"/>
        </w:rPr>
        <w:t xml:space="preserve">Lista de </w:t>
      </w:r>
      <w:r w:rsidR="004C6B00">
        <w:rPr>
          <w:rFonts w:eastAsiaTheme="minorHAnsi"/>
          <w:noProof w:val="0"/>
          <w:sz w:val="28"/>
          <w:szCs w:val="28"/>
          <w:lang w:val="es-MX" w:eastAsia="en-US"/>
        </w:rPr>
        <w:t>los presentes</w:t>
      </w:r>
      <w:r w:rsidRPr="00147458">
        <w:rPr>
          <w:rFonts w:eastAsiaTheme="minorHAnsi"/>
          <w:noProof w:val="0"/>
          <w:sz w:val="28"/>
          <w:szCs w:val="28"/>
          <w:lang w:val="es-MX" w:eastAsia="en-US"/>
        </w:rPr>
        <w:t>.</w:t>
      </w:r>
    </w:p>
    <w:p w:rsidR="00147458" w:rsidRPr="00147458" w:rsidRDefault="00147458" w:rsidP="00147458">
      <w:pPr>
        <w:contextualSpacing/>
        <w:jc w:val="both"/>
        <w:rPr>
          <w:rFonts w:eastAsiaTheme="minorHAnsi"/>
          <w:noProof w:val="0"/>
          <w:sz w:val="28"/>
          <w:szCs w:val="28"/>
          <w:lang w:val="es-MX" w:eastAsia="en-US"/>
        </w:rPr>
      </w:pPr>
    </w:p>
    <w:p w:rsidR="00147458" w:rsidRDefault="004C6B00" w:rsidP="00147458">
      <w:pPr>
        <w:numPr>
          <w:ilvl w:val="0"/>
          <w:numId w:val="2"/>
        </w:numPr>
        <w:ind w:left="1070"/>
        <w:contextualSpacing/>
        <w:jc w:val="both"/>
        <w:rPr>
          <w:rFonts w:eastAsiaTheme="minorHAnsi"/>
          <w:noProof w:val="0"/>
          <w:sz w:val="28"/>
          <w:szCs w:val="28"/>
          <w:lang w:val="es-MX" w:eastAsia="en-US"/>
        </w:rPr>
      </w:pPr>
      <w:r>
        <w:rPr>
          <w:rFonts w:eastAsiaTheme="minorHAnsi"/>
          <w:noProof w:val="0"/>
          <w:sz w:val="28"/>
          <w:szCs w:val="28"/>
          <w:lang w:val="es-MX" w:eastAsia="en-US"/>
        </w:rPr>
        <w:t>Análisis de propuestas,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garantía integral de las luminarias a cargo del proveedor.</w:t>
      </w:r>
    </w:p>
    <w:p w:rsidR="004C6B00" w:rsidRDefault="004C6B00" w:rsidP="004C6B00">
      <w:pPr>
        <w:pStyle w:val="Prrafodelista"/>
        <w:rPr>
          <w:sz w:val="28"/>
          <w:szCs w:val="28"/>
        </w:rPr>
      </w:pPr>
    </w:p>
    <w:p w:rsidR="004C6B00" w:rsidRDefault="004C6B00" w:rsidP="00147458">
      <w:pPr>
        <w:numPr>
          <w:ilvl w:val="0"/>
          <w:numId w:val="2"/>
        </w:numPr>
        <w:ind w:left="1070"/>
        <w:contextualSpacing/>
        <w:jc w:val="both"/>
        <w:rPr>
          <w:rFonts w:eastAsiaTheme="minorHAnsi"/>
          <w:noProof w:val="0"/>
          <w:sz w:val="28"/>
          <w:szCs w:val="28"/>
          <w:lang w:val="es-MX" w:eastAsia="en-US"/>
        </w:rPr>
      </w:pPr>
      <w:r>
        <w:rPr>
          <w:rFonts w:eastAsiaTheme="minorHAnsi"/>
          <w:noProof w:val="0"/>
          <w:sz w:val="28"/>
          <w:szCs w:val="28"/>
          <w:lang w:val="es-MX" w:eastAsia="en-US"/>
        </w:rPr>
        <w:t>Puntos Varios.</w:t>
      </w:r>
    </w:p>
    <w:p w:rsidR="004C6B00" w:rsidRDefault="004C6B00" w:rsidP="004C6B00">
      <w:pPr>
        <w:pStyle w:val="Prrafodelista"/>
        <w:rPr>
          <w:sz w:val="28"/>
          <w:szCs w:val="28"/>
        </w:rPr>
      </w:pPr>
    </w:p>
    <w:p w:rsidR="004C6B00" w:rsidRDefault="004C6B00" w:rsidP="00147458">
      <w:pPr>
        <w:numPr>
          <w:ilvl w:val="0"/>
          <w:numId w:val="2"/>
        </w:numPr>
        <w:ind w:left="1070"/>
        <w:contextualSpacing/>
        <w:jc w:val="both"/>
        <w:rPr>
          <w:rFonts w:eastAsiaTheme="minorHAnsi"/>
          <w:noProof w:val="0"/>
          <w:sz w:val="28"/>
          <w:szCs w:val="28"/>
          <w:lang w:val="es-MX" w:eastAsia="en-US"/>
        </w:rPr>
      </w:pPr>
      <w:r>
        <w:rPr>
          <w:rFonts w:eastAsiaTheme="minorHAnsi"/>
          <w:noProof w:val="0"/>
          <w:sz w:val="28"/>
          <w:szCs w:val="28"/>
          <w:lang w:val="es-MX" w:eastAsia="en-US"/>
        </w:rPr>
        <w:t xml:space="preserve">Clausura </w:t>
      </w:r>
    </w:p>
    <w:p w:rsidR="004C6B00" w:rsidRDefault="004C6B00" w:rsidP="004C6B00">
      <w:pPr>
        <w:pStyle w:val="Prrafodelista"/>
        <w:rPr>
          <w:sz w:val="28"/>
          <w:szCs w:val="28"/>
        </w:rPr>
      </w:pPr>
    </w:p>
    <w:p w:rsidR="00147458" w:rsidRPr="00147458" w:rsidRDefault="00147458" w:rsidP="00147458">
      <w:pPr>
        <w:contextualSpacing/>
        <w:jc w:val="both"/>
        <w:rPr>
          <w:rFonts w:eastAsiaTheme="minorHAnsi"/>
          <w:noProof w:val="0"/>
          <w:sz w:val="28"/>
          <w:szCs w:val="28"/>
          <w:lang w:val="es-MX" w:eastAsia="en-US"/>
        </w:rPr>
      </w:pPr>
    </w:p>
    <w:p w:rsidR="004142FA" w:rsidRPr="004142FA" w:rsidRDefault="004142FA">
      <w:pPr>
        <w:jc w:val="center"/>
        <w:rPr>
          <w:sz w:val="26"/>
          <w:szCs w:val="26"/>
        </w:rPr>
      </w:pPr>
    </w:p>
    <w:sectPr w:rsidR="004142FA" w:rsidRPr="004142FA"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5E" w:rsidRDefault="009B695E" w:rsidP="007C73C4">
      <w:r>
        <w:separator/>
      </w:r>
    </w:p>
  </w:endnote>
  <w:endnote w:type="continuationSeparator" w:id="0">
    <w:p w:rsidR="009B695E" w:rsidRDefault="009B695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5E" w:rsidRDefault="009B695E" w:rsidP="007C73C4">
      <w:r>
        <w:separator/>
      </w:r>
    </w:p>
  </w:footnote>
  <w:footnote w:type="continuationSeparator" w:id="0">
    <w:p w:rsidR="009B695E" w:rsidRDefault="009B695E"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0966F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0966F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0966F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E315C"/>
    <w:multiLevelType w:val="hybridMultilevel"/>
    <w:tmpl w:val="BADE66B6"/>
    <w:lvl w:ilvl="0" w:tplc="080A000F">
      <w:start w:val="1"/>
      <w:numFmt w:val="decimal"/>
      <w:lvlText w:val="%1."/>
      <w:lvlJc w:val="left"/>
      <w:pPr>
        <w:ind w:left="1211" w:hanging="360"/>
      </w:pPr>
      <w:rPr>
        <w:rFont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C88"/>
    <w:rsid w:val="00071281"/>
    <w:rsid w:val="000735E9"/>
    <w:rsid w:val="000966FE"/>
    <w:rsid w:val="000B0B09"/>
    <w:rsid w:val="00122505"/>
    <w:rsid w:val="00147458"/>
    <w:rsid w:val="0016598D"/>
    <w:rsid w:val="00187E1C"/>
    <w:rsid w:val="001A299D"/>
    <w:rsid w:val="001B013B"/>
    <w:rsid w:val="001D1794"/>
    <w:rsid w:val="001E06D3"/>
    <w:rsid w:val="001E21DF"/>
    <w:rsid w:val="001E53CB"/>
    <w:rsid w:val="001E76E0"/>
    <w:rsid w:val="00214D20"/>
    <w:rsid w:val="00245801"/>
    <w:rsid w:val="00251FD0"/>
    <w:rsid w:val="002A616D"/>
    <w:rsid w:val="003453BB"/>
    <w:rsid w:val="0034746E"/>
    <w:rsid w:val="00372EC0"/>
    <w:rsid w:val="003E5F67"/>
    <w:rsid w:val="004142FA"/>
    <w:rsid w:val="0048143F"/>
    <w:rsid w:val="004C6B00"/>
    <w:rsid w:val="004E3DAB"/>
    <w:rsid w:val="00534267"/>
    <w:rsid w:val="00575D59"/>
    <w:rsid w:val="005D3521"/>
    <w:rsid w:val="00622561"/>
    <w:rsid w:val="00634D50"/>
    <w:rsid w:val="0064457E"/>
    <w:rsid w:val="00672A77"/>
    <w:rsid w:val="00691B4D"/>
    <w:rsid w:val="006A6921"/>
    <w:rsid w:val="0072779F"/>
    <w:rsid w:val="0076465B"/>
    <w:rsid w:val="007C73C4"/>
    <w:rsid w:val="007D5385"/>
    <w:rsid w:val="007F7079"/>
    <w:rsid w:val="0080229F"/>
    <w:rsid w:val="00827EB6"/>
    <w:rsid w:val="0087581A"/>
    <w:rsid w:val="008A47D6"/>
    <w:rsid w:val="008B291C"/>
    <w:rsid w:val="00904C41"/>
    <w:rsid w:val="00921FAC"/>
    <w:rsid w:val="00987171"/>
    <w:rsid w:val="009B0055"/>
    <w:rsid w:val="009B695E"/>
    <w:rsid w:val="009C79A4"/>
    <w:rsid w:val="00A40D2E"/>
    <w:rsid w:val="00AE1038"/>
    <w:rsid w:val="00B056C8"/>
    <w:rsid w:val="00B7522F"/>
    <w:rsid w:val="00C2449E"/>
    <w:rsid w:val="00C3375A"/>
    <w:rsid w:val="00C41835"/>
    <w:rsid w:val="00C67EF8"/>
    <w:rsid w:val="00CE1E22"/>
    <w:rsid w:val="00D02F69"/>
    <w:rsid w:val="00D8298F"/>
    <w:rsid w:val="00D83390"/>
    <w:rsid w:val="00D862F3"/>
    <w:rsid w:val="00DC3131"/>
    <w:rsid w:val="00DE61D6"/>
    <w:rsid w:val="00E0781F"/>
    <w:rsid w:val="00E26023"/>
    <w:rsid w:val="00E31F69"/>
    <w:rsid w:val="00E32BE1"/>
    <w:rsid w:val="00E55207"/>
    <w:rsid w:val="00EC0B05"/>
    <w:rsid w:val="00EE7F5D"/>
    <w:rsid w:val="00EF1A40"/>
    <w:rsid w:val="00F42385"/>
    <w:rsid w:val="00F56E74"/>
    <w:rsid w:val="00F57D5D"/>
    <w:rsid w:val="00F61099"/>
    <w:rsid w:val="00F7502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60EB3516-6934-4886-9760-A15A5EFB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7F7079"/>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1E53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53CB"/>
    <w:rPr>
      <w:rFonts w:ascii="Segoe UI" w:hAnsi="Segoe UI" w:cs="Segoe UI"/>
      <w:noProof/>
      <w:sz w:val="18"/>
      <w:szCs w:val="18"/>
    </w:rPr>
  </w:style>
  <w:style w:type="table" w:styleId="Tablaconcuadrcula">
    <w:name w:val="Table Grid"/>
    <w:basedOn w:val="Tablanormal"/>
    <w:uiPriority w:val="59"/>
    <w:rsid w:val="00E31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131</Words>
  <Characters>722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Ana Belen Zuñiga Ceballos</cp:lastModifiedBy>
  <cp:revision>41</cp:revision>
  <cp:lastPrinted>2020-06-25T14:40:00Z</cp:lastPrinted>
  <dcterms:created xsi:type="dcterms:W3CDTF">2018-11-05T14:33:00Z</dcterms:created>
  <dcterms:modified xsi:type="dcterms:W3CDTF">2020-07-24T15:40:00Z</dcterms:modified>
</cp:coreProperties>
</file>