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F72838">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00E17EE6" wp14:editId="65CDE1D1">
                <wp:simplePos x="0" y="0"/>
                <wp:positionH relativeFrom="column">
                  <wp:posOffset>-385191</wp:posOffset>
                </wp:positionH>
                <wp:positionV relativeFrom="paragraph">
                  <wp:posOffset>-25</wp:posOffset>
                </wp:positionV>
                <wp:extent cx="980237" cy="1051671"/>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985940" cy="1057789"/>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C02B12" w:rsidRPr="00224567" w:rsidRDefault="00C02B12" w:rsidP="00F72838">
          <w:pPr>
            <w:pStyle w:val="Sinespaciado"/>
            <w:jc w:val="center"/>
            <w:rPr>
              <w:rFonts w:ascii="Lithos Pro Regular" w:eastAsiaTheme="majorEastAsia" w:hAnsi="Lithos Pro Regular" w:cstheme="majorBidi"/>
              <w:b/>
              <w:sz w:val="52"/>
              <w:szCs w:val="72"/>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3D5BF6">
            <w:rPr>
              <w:rFonts w:ascii="Arial" w:eastAsia="Times New Roman" w:hAnsi="Arial" w:cs="Arial"/>
              <w:b/>
              <w:sz w:val="28"/>
              <w:szCs w:val="28"/>
              <w:lang w:val="es-ES" w:eastAsia="es-ES"/>
            </w:rPr>
            <w:t>026</w:t>
          </w:r>
          <w:r w:rsidR="007D6B89">
            <w:rPr>
              <w:rFonts w:ascii="Arial" w:eastAsia="Times New Roman" w:hAnsi="Arial" w:cs="Arial"/>
              <w:b/>
              <w:sz w:val="28"/>
              <w:szCs w:val="28"/>
              <w:lang w:val="es-ES" w:eastAsia="es-ES"/>
            </w:rPr>
            <w:t>/2021</w:t>
          </w:r>
        </w:p>
        <w:p w:rsidR="0032216B" w:rsidRPr="009A250F" w:rsidRDefault="0032216B" w:rsidP="0032216B">
          <w:pPr>
            <w:spacing w:after="0"/>
            <w:jc w:val="center"/>
            <w:rPr>
              <w:rFonts w:ascii="Arial" w:eastAsia="Times New Roman" w:hAnsi="Arial" w:cs="Arial"/>
              <w:b/>
              <w:sz w:val="10"/>
              <w:szCs w:val="10"/>
              <w:lang w:val="es-ES" w:eastAsia="es-ES"/>
            </w:rPr>
          </w:pPr>
        </w:p>
        <w:p w:rsidR="001C271B" w:rsidRPr="00AA1F79" w:rsidRDefault="003D5BF6" w:rsidP="003D5BF6">
          <w:pPr>
            <w:spacing w:after="0"/>
            <w:jc w:val="center"/>
            <w:rPr>
              <w:rFonts w:ascii="Arial" w:hAnsi="Arial" w:cs="Arial"/>
              <w:b/>
            </w:rPr>
          </w:pPr>
          <w:r w:rsidRPr="00D54247">
            <w:rPr>
              <w:rFonts w:ascii="Arial" w:hAnsi="Arial" w:cs="Arial"/>
              <w:b/>
              <w:sz w:val="24"/>
              <w:szCs w:val="24"/>
            </w:rPr>
            <w:t>“</w:t>
          </w:r>
          <w:r w:rsidRPr="009B7FBC">
            <w:rPr>
              <w:rFonts w:ascii="Arial" w:hAnsi="Arial" w:cs="Arial"/>
              <w:b/>
            </w:rPr>
            <w:t xml:space="preserve">PRESTACIÓN DE SERVICIOS DE MANO DE OBRA COMPLEMENTARIA PARA </w:t>
          </w:r>
          <w:r>
            <w:rPr>
              <w:rFonts w:ascii="Arial" w:hAnsi="Arial" w:cs="Arial"/>
              <w:b/>
            </w:rPr>
            <w:t>LA OBRA DENOMINADA -</w:t>
          </w:r>
          <w:r w:rsidRPr="00114FB6">
            <w:rPr>
              <w:rFonts w:ascii="Book Antiqua" w:hAnsi="Book Antiqua"/>
              <w:b/>
              <w:sz w:val="18"/>
              <w:szCs w:val="18"/>
            </w:rPr>
            <w:t xml:space="preserve"> </w:t>
          </w:r>
          <w:r w:rsidRPr="00114FB6">
            <w:rPr>
              <w:rFonts w:ascii="Arial" w:hAnsi="Arial" w:cs="Arial"/>
              <w:b/>
            </w:rPr>
            <w:t>CONSTRUCCIÓN DE EMPEDRADO ZAMPEADO EN LA CALLE</w:t>
          </w:r>
          <w:r>
            <w:rPr>
              <w:rFonts w:ascii="Arial" w:hAnsi="Arial" w:cs="Arial"/>
              <w:b/>
            </w:rPr>
            <w:t xml:space="preserve"> </w:t>
          </w:r>
          <w:r w:rsidRPr="00DF7FBD">
            <w:rPr>
              <w:rFonts w:ascii="Arial" w:hAnsi="Arial" w:cs="Arial"/>
              <w:b/>
            </w:rPr>
            <w:t>PARCELA ENTRE LAS CALLES EMILIANO ZAPATA Y CARLOS PÁEZ STILLE</w:t>
          </w:r>
          <w:r>
            <w:rPr>
              <w:rFonts w:ascii="Arial" w:hAnsi="Arial" w:cs="Arial"/>
              <w:b/>
            </w:rPr>
            <w:t xml:space="preserve"> – </w:t>
          </w:r>
          <w:r w:rsidRPr="009B7FBC">
            <w:rPr>
              <w:rFonts w:ascii="Arial" w:hAnsi="Arial" w:cs="Arial"/>
              <w:b/>
            </w:rPr>
            <w:t>DEL MUNICIPIO DE ZAPOTLÁN EL GRANDE, JALISCO</w:t>
          </w:r>
          <w:r w:rsidRPr="00D54247">
            <w:rPr>
              <w:rFonts w:ascii="Arial" w:eastAsia="Times New Roman" w:hAnsi="Arial" w:cs="Arial"/>
              <w:b/>
              <w:sz w:val="24"/>
              <w:szCs w:val="24"/>
              <w:lang w:val="es-ES" w:eastAsia="es-ES"/>
            </w:rPr>
            <w:t>”</w:t>
          </w:r>
        </w:p>
        <w:p w:rsidR="004E4422" w:rsidRPr="009A250F" w:rsidRDefault="004E4422" w:rsidP="004E4422">
          <w:pPr>
            <w:spacing w:after="0"/>
            <w:jc w:val="center"/>
            <w:rPr>
              <w:sz w:val="16"/>
              <w:szCs w:val="16"/>
              <w:lang w:eastAsia="es-ES"/>
            </w:rPr>
          </w:pPr>
        </w:p>
        <w:p w:rsidR="00CE4591" w:rsidRPr="003D5BF6" w:rsidRDefault="00D70EA5" w:rsidP="003D5BF6">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3D5BF6">
            <w:rPr>
              <w:rFonts w:ascii="Arial" w:hAnsi="Arial" w:cs="Arial"/>
            </w:rPr>
            <w:t>026</w:t>
          </w:r>
          <w:r w:rsidR="0031797D">
            <w:rPr>
              <w:rFonts w:ascii="Arial" w:hAnsi="Arial" w:cs="Arial"/>
            </w:rPr>
            <w:t>/2021</w:t>
          </w:r>
          <w:r w:rsidRPr="00295FAD">
            <w:rPr>
              <w:rFonts w:ascii="Arial" w:hAnsi="Arial" w:cs="Arial"/>
            </w:rPr>
            <w:t xml:space="preserve"> para</w:t>
          </w:r>
          <w:r w:rsidR="00327A90">
            <w:rPr>
              <w:rFonts w:ascii="Arial" w:hAnsi="Arial" w:cs="Arial"/>
            </w:rPr>
            <w:t xml:space="preserve"> la</w:t>
          </w:r>
          <w:r w:rsidR="00B55836" w:rsidRPr="00AC315A">
            <w:rPr>
              <w:rFonts w:ascii="Arial" w:hAnsi="Arial" w:cs="Arial"/>
            </w:rPr>
            <w:t xml:space="preserve"> </w:t>
          </w:r>
          <w:r w:rsidR="003D5BF6" w:rsidRPr="003D5BF6">
            <w:rPr>
              <w:rFonts w:ascii="Arial" w:hAnsi="Arial" w:cs="Arial"/>
            </w:rPr>
            <w:t>“PRESTACIÓN DE SERVICIOS DE MANO DE OBRA COMPLEMENTARIA PARA LA OBRA DENOMINADA - CONSTRUCCIÓN DE EMPEDRADO ZAMPEADO EN LA CALLE PARCELA ENTRE LAS CALLES EMILIANO ZAPATA Y CARLOS PÁEZ STILLE – DEL MUNICIPIO DE ZAPOTLÁN EL GRANDE, JALISCO”.</w:t>
          </w:r>
        </w:p>
        <w:p w:rsidR="005D048A" w:rsidRPr="00CE4591" w:rsidRDefault="005D048A" w:rsidP="00CE4591">
          <w:pPr>
            <w:spacing w:after="0"/>
            <w:jc w:val="both"/>
            <w:rPr>
              <w:rFonts w:ascii="Arial" w:hAnsi="Arial" w:cs="Arial"/>
            </w:rPr>
          </w:pPr>
        </w:p>
        <w:p w:rsidR="00224567" w:rsidRDefault="00D70EA5" w:rsidP="00BE7110">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BE7110" w:rsidRPr="00BE7110" w:rsidRDefault="00BE7110" w:rsidP="00BE7110">
          <w:pPr>
            <w:spacing w:after="0" w:line="240" w:lineRule="auto"/>
            <w:jc w:val="both"/>
            <w:rPr>
              <w:rFonts w:ascii="Arial" w:hAnsi="Arial" w:cs="Arial"/>
              <w:sz w:val="24"/>
              <w:szCs w:val="24"/>
            </w:rPr>
          </w:pPr>
        </w:p>
        <w:p w:rsidR="00CE4591" w:rsidRDefault="00CE4591" w:rsidP="00F04F40">
          <w:pPr>
            <w:autoSpaceDE w:val="0"/>
            <w:autoSpaceDN w:val="0"/>
            <w:adjustRightInd w:val="0"/>
            <w:spacing w:after="0" w:line="240" w:lineRule="auto"/>
            <w:jc w:val="center"/>
            <w:rPr>
              <w:rFonts w:cstheme="minorHAnsi"/>
              <w:b/>
              <w:color w:val="FF0000"/>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BASES</w:t>
          </w:r>
        </w:p>
        <w:p w:rsidR="00224567" w:rsidRPr="00BE7110" w:rsidRDefault="00224567" w:rsidP="00F04F40">
          <w:pPr>
            <w:autoSpaceDE w:val="0"/>
            <w:autoSpaceDN w:val="0"/>
            <w:adjustRightInd w:val="0"/>
            <w:spacing w:after="0" w:line="240" w:lineRule="auto"/>
            <w:jc w:val="center"/>
            <w:rPr>
              <w:rFonts w:cstheme="minorHAnsi"/>
              <w:b/>
              <w:color w:val="FF0000"/>
              <w:sz w:val="16"/>
              <w:szCs w:val="16"/>
            </w:rPr>
          </w:pPr>
        </w:p>
        <w:p w:rsidR="00C02B12" w:rsidRDefault="000D0E61" w:rsidP="00B631F6">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775820"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D75F62" w:rsidRPr="00D75F62" w:rsidRDefault="0081745C" w:rsidP="00D75F62">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D75F62" w:rsidRPr="00B039BD" w:rsidRDefault="00D75F62" w:rsidP="00D75F62">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17"/>
            <w:gridCol w:w="4311"/>
          </w:tblGrid>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DE PUBLICACIÓN DE LAS BASES</w:t>
                </w:r>
              </w:p>
            </w:tc>
            <w:tc>
              <w:tcPr>
                <w:tcW w:w="5388" w:type="dxa"/>
                <w:vAlign w:val="center"/>
              </w:tcPr>
              <w:p w:rsidR="00D75F62" w:rsidRPr="00FE6B63" w:rsidRDefault="00D75F62" w:rsidP="00E92540">
                <w:pPr>
                  <w:jc w:val="center"/>
                  <w:rPr>
                    <w:rFonts w:ascii="Book Antiqua" w:hAnsi="Book Antiqua"/>
                    <w:b/>
                  </w:rPr>
                </w:pPr>
                <w:r w:rsidRPr="00FE6B63">
                  <w:rPr>
                    <w:rFonts w:ascii="Book Antiqua" w:hAnsi="Book Antiqua"/>
                    <w:b/>
                  </w:rPr>
                  <w:t xml:space="preserve">Viernes 05 de </w:t>
                </w:r>
                <w:bookmarkStart w:id="0" w:name="_GoBack"/>
                <w:r w:rsidRPr="00FE6B63">
                  <w:rPr>
                    <w:rFonts w:ascii="Book Antiqua" w:hAnsi="Book Antiqua"/>
                    <w:b/>
                  </w:rPr>
                  <w:t>febrero</w:t>
                </w:r>
                <w:bookmarkEnd w:id="0"/>
                <w:r w:rsidRPr="00FE6B63">
                  <w:rPr>
                    <w:rFonts w:ascii="Book Antiqua" w:hAnsi="Book Antiqua"/>
                    <w:b/>
                  </w:rPr>
                  <w:t xml:space="preserve"> del 2021</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LÍMITE DE ENTREGA O ENVÍO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DE ESCRITO EN EL QUE EXPRESEN LOS PROVEEDORES SU INTERÉS EN PARTICIPAR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EN LA LICITACIÓN</w:t>
                </w:r>
              </w:p>
            </w:tc>
            <w:tc>
              <w:tcPr>
                <w:tcW w:w="5388" w:type="dxa"/>
                <w:vAlign w:val="center"/>
              </w:tcPr>
              <w:p w:rsidR="00D75F62" w:rsidRDefault="00D75F62" w:rsidP="00E92540">
                <w:pPr>
                  <w:jc w:val="center"/>
                  <w:rPr>
                    <w:rFonts w:ascii="Book Antiqua" w:hAnsi="Book Antiqua"/>
                    <w:b/>
                  </w:rPr>
                </w:pPr>
                <w:r w:rsidRPr="00FE6B63">
                  <w:rPr>
                    <w:rFonts w:ascii="Book Antiqua" w:hAnsi="Book Antiqua"/>
                    <w:b/>
                  </w:rPr>
                  <w:t>Lunes 08 de febrero del 2021</w:t>
                </w:r>
              </w:p>
              <w:p w:rsidR="00D75F62" w:rsidRPr="00FE6B63" w:rsidRDefault="00D75F62" w:rsidP="00E92540">
                <w:pPr>
                  <w:jc w:val="center"/>
                  <w:rPr>
                    <w:rFonts w:ascii="Book Antiqua" w:hAnsi="Book Antiqua"/>
                    <w:b/>
                  </w:rPr>
                </w:pPr>
                <w:r>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DE ENTREGA FÍSICA DE BASES. </w:t>
                </w:r>
              </w:p>
            </w:tc>
            <w:tc>
              <w:tcPr>
                <w:tcW w:w="5388" w:type="dxa"/>
                <w:vAlign w:val="center"/>
              </w:tcPr>
              <w:p w:rsidR="00D75F62" w:rsidRDefault="00D75F62" w:rsidP="00E92540">
                <w:pPr>
                  <w:jc w:val="center"/>
                  <w:rPr>
                    <w:rFonts w:ascii="Book Antiqua" w:hAnsi="Book Antiqua"/>
                    <w:b/>
                  </w:rPr>
                </w:pPr>
                <w:r w:rsidRPr="00FE6B63">
                  <w:rPr>
                    <w:rFonts w:ascii="Book Antiqua" w:hAnsi="Book Antiqua"/>
                    <w:b/>
                  </w:rPr>
                  <w:t>Lunes 08 de febrero del 2021</w:t>
                </w:r>
              </w:p>
              <w:p w:rsidR="00D75F62" w:rsidRPr="00FE6B63" w:rsidRDefault="00D75F62" w:rsidP="00E92540">
                <w:pPr>
                  <w:jc w:val="center"/>
                  <w:rPr>
                    <w:rFonts w:ascii="Book Antiqua" w:hAnsi="Book Antiqua"/>
                    <w:b/>
                  </w:rPr>
                </w:pPr>
                <w:r w:rsidRPr="00FE6B63">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DE ENTREGA O ENVÍO DE CUESTIONARIO DE ACLARACIONES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Miércoles 10</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DE LA JUNTA DE ACLARACIONES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Viernes 12</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PARA ENTREGA DE PROPUESTAS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Lunes 15</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APERTURA DE PROPUESTAS</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Lunes 15</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RESOLUCIÓN Y EMISIÓN DE FALLO</w:t>
                </w:r>
              </w:p>
            </w:tc>
            <w:tc>
              <w:tcPr>
                <w:tcW w:w="5388" w:type="dxa"/>
                <w:vAlign w:val="center"/>
              </w:tcPr>
              <w:p w:rsidR="00D75F62" w:rsidRPr="003358F9" w:rsidRDefault="00D75F62"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Martes 16</w:t>
                </w:r>
                <w:r w:rsidRPr="003358F9">
                  <w:rPr>
                    <w:rFonts w:ascii="Book Antiqua" w:eastAsiaTheme="minorEastAsia" w:hAnsi="Book Antiqua" w:cs="Calibri"/>
                    <w:b/>
                    <w:color w:val="auto"/>
                    <w:sz w:val="20"/>
                    <w:szCs w:val="20"/>
                  </w:rPr>
                  <w:t xml:space="preserve"> de </w:t>
                </w:r>
                <w:r>
                  <w:rPr>
                    <w:rFonts w:ascii="Book Antiqua" w:eastAsiaTheme="minorEastAsia" w:hAnsi="Book Antiqua" w:cs="Calibri"/>
                    <w:b/>
                    <w:color w:val="auto"/>
                    <w:sz w:val="20"/>
                    <w:szCs w:val="20"/>
                  </w:rPr>
                  <w:t>febrero</w:t>
                </w:r>
                <w:r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Pr>
                    <w:rFonts w:ascii="Book Antiqua" w:hAnsi="Book Antiqua"/>
                    <w:b/>
                  </w:rPr>
                  <w:t>10</w:t>
                </w:r>
                <w:r w:rsidRPr="003358F9">
                  <w:rPr>
                    <w:rFonts w:ascii="Book Antiqua" w:hAnsi="Book Antiqua"/>
                    <w:b/>
                  </w:rPr>
                  <w:t>:00 horas</w:t>
                </w:r>
              </w:p>
            </w:tc>
          </w:tr>
        </w:tbl>
        <w:p w:rsidR="00D75F62" w:rsidRPr="00B039BD" w:rsidRDefault="00D75F62" w:rsidP="00D75F62">
          <w:pPr>
            <w:pStyle w:val="Default"/>
            <w:rPr>
              <w:rFonts w:ascii="Arial" w:hAnsi="Arial" w:cs="Arial"/>
              <w:color w:val="auto"/>
              <w:sz w:val="16"/>
              <w:szCs w:val="16"/>
            </w:rPr>
          </w:pPr>
        </w:p>
        <w:p w:rsidR="0081745C" w:rsidRPr="00BE7110"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3D5BF6" w:rsidRDefault="003D5BF6" w:rsidP="003D5BF6">
          <w:pPr>
            <w:spacing w:after="0"/>
            <w:jc w:val="both"/>
            <w:rPr>
              <w:rFonts w:ascii="Arial" w:hAnsi="Arial" w:cs="Arial"/>
            </w:rPr>
          </w:pPr>
          <w:r w:rsidRPr="003D5BF6">
            <w:rPr>
              <w:rFonts w:ascii="Arial" w:hAnsi="Arial" w:cs="Arial"/>
            </w:rPr>
            <w:t>“PRESTACIÓN DE SERVICIOS DE MANO DE OBRA COMPLEMENTARIA PARA LA OBRA DENOMINADA - CONSTRUCCIÓN DE EMPEDRADO ZAMPEADO EN LA CALLE PARCELA ENTRE LAS CALLES EMILIANO ZAPATA Y CARLOS PÁEZ STILLE – DEL MUNICIPIO DE ZAPOTLÁN EL GRANDE, JALISCO</w:t>
          </w:r>
          <w:r w:rsidR="00CE4591" w:rsidRPr="00CE4591">
            <w:rPr>
              <w:rFonts w:ascii="Arial" w:hAnsi="Arial" w:cs="Arial"/>
            </w:rPr>
            <w:t>”</w:t>
          </w:r>
          <w:r w:rsidR="00CE4591">
            <w:rPr>
              <w:rFonts w:ascii="Arial" w:hAnsi="Arial" w:cs="Arial"/>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C950A5"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066BC3">
            <w:rPr>
              <w:rFonts w:ascii="Book Antiqua" w:hAnsi="Book Antiqua"/>
              <w:sz w:val="24"/>
              <w:szCs w:val="24"/>
            </w:rPr>
            <w:t xml:space="preserve">CALLE </w:t>
          </w:r>
          <w:r w:rsidR="003D5BF6">
            <w:rPr>
              <w:rFonts w:ascii="Book Antiqua" w:hAnsi="Book Antiqua"/>
              <w:sz w:val="24"/>
              <w:szCs w:val="24"/>
            </w:rPr>
            <w:t>PARCELA</w:t>
          </w:r>
          <w:r w:rsidR="00066BC3">
            <w:rPr>
              <w:rFonts w:ascii="Book Antiqua" w:hAnsi="Book Antiqua"/>
              <w:sz w:val="24"/>
              <w:szCs w:val="24"/>
            </w:rPr>
            <w:t xml:space="preserve"> </w:t>
          </w:r>
          <w:r w:rsidR="004A47A7" w:rsidRPr="004A47A7">
            <w:rPr>
              <w:rFonts w:ascii="Book Antiqua" w:hAnsi="Book Antiqua"/>
              <w:sz w:val="24"/>
              <w:szCs w:val="24"/>
            </w:rPr>
            <w:t>entre l</w:t>
          </w:r>
          <w:r w:rsidR="00066BC3">
            <w:rPr>
              <w:rFonts w:ascii="Book Antiqua" w:hAnsi="Book Antiqua"/>
              <w:sz w:val="24"/>
              <w:szCs w:val="24"/>
            </w:rPr>
            <w:t xml:space="preserve">as calles </w:t>
          </w:r>
          <w:r w:rsidR="003D5BF6">
            <w:rPr>
              <w:rFonts w:ascii="Book Antiqua" w:hAnsi="Book Antiqua"/>
              <w:sz w:val="24"/>
              <w:szCs w:val="24"/>
            </w:rPr>
            <w:t xml:space="preserve">Emiliano Zapata y Carlos Páez </w:t>
          </w:r>
          <w:proofErr w:type="spellStart"/>
          <w:r w:rsidR="003D5BF6">
            <w:rPr>
              <w:rFonts w:ascii="Book Antiqua" w:hAnsi="Book Antiqua"/>
              <w:sz w:val="24"/>
              <w:szCs w:val="24"/>
            </w:rPr>
            <w:t>Stille</w:t>
          </w:r>
          <w:proofErr w:type="spellEnd"/>
          <w:r w:rsidR="00066BC3">
            <w:rPr>
              <w:rFonts w:ascii="Book Antiqua" w:hAnsi="Book Antiqua"/>
              <w:sz w:val="24"/>
              <w:szCs w:val="24"/>
            </w:rPr>
            <w:t>,</w:t>
          </w:r>
          <w:r w:rsidRPr="004A47A7">
            <w:rPr>
              <w:color w:val="000000" w:themeColor="text1"/>
              <w:sz w:val="24"/>
              <w:szCs w:val="24"/>
            </w:rPr>
            <w:t xml:space="preserve"> 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C950A5" w:rsidRDefault="005A6D4D" w:rsidP="005A6D4D">
          <w:pPr>
            <w:autoSpaceDE w:val="0"/>
            <w:autoSpaceDN w:val="0"/>
            <w:adjustRightInd w:val="0"/>
            <w:spacing w:after="0" w:line="240" w:lineRule="auto"/>
            <w:jc w:val="both"/>
            <w:rPr>
              <w:sz w:val="16"/>
              <w:szCs w:val="16"/>
            </w:rPr>
          </w:pPr>
        </w:p>
        <w:p w:rsidR="00CE4591" w:rsidRDefault="00CE4591" w:rsidP="00BE7110">
          <w:pPr>
            <w:autoSpaceDE w:val="0"/>
            <w:autoSpaceDN w:val="0"/>
            <w:adjustRightInd w:val="0"/>
            <w:spacing w:after="0" w:line="240" w:lineRule="auto"/>
            <w:rPr>
              <w:rFonts w:cstheme="minorHAnsi"/>
              <w:b/>
              <w:color w:val="FF0000"/>
              <w:sz w:val="24"/>
              <w:szCs w:val="24"/>
            </w:rPr>
          </w:pPr>
        </w:p>
        <w:p w:rsidR="00CE4591" w:rsidRDefault="00CE4591" w:rsidP="00BE7110">
          <w:pPr>
            <w:autoSpaceDE w:val="0"/>
            <w:autoSpaceDN w:val="0"/>
            <w:adjustRightInd w:val="0"/>
            <w:spacing w:after="0" w:line="240" w:lineRule="auto"/>
            <w:rPr>
              <w:rFonts w:cstheme="minorHAnsi"/>
              <w:b/>
              <w:color w:val="FF0000"/>
              <w:sz w:val="24"/>
              <w:szCs w:val="24"/>
            </w:rPr>
          </w:pPr>
        </w:p>
        <w:p w:rsidR="00BE7110" w:rsidRPr="00BE7110" w:rsidRDefault="00BE7110" w:rsidP="00BE7110">
          <w:pPr>
            <w:autoSpaceDE w:val="0"/>
            <w:autoSpaceDN w:val="0"/>
            <w:adjustRightInd w:val="0"/>
            <w:spacing w:after="0" w:line="240" w:lineRule="auto"/>
            <w:rPr>
              <w:rFonts w:cstheme="minorHAnsi"/>
              <w:b/>
              <w:color w:val="FF0000"/>
              <w:sz w:val="24"/>
              <w:szCs w:val="24"/>
            </w:rPr>
          </w:pPr>
          <w:r w:rsidRPr="00BE7110">
            <w:rPr>
              <w:rFonts w:cstheme="minorHAnsi"/>
              <w:b/>
              <w:color w:val="FF0000"/>
              <w:sz w:val="24"/>
              <w:szCs w:val="24"/>
            </w:rPr>
            <w:t>1.3 PERIODO DE EJECUCIÓN:</w:t>
          </w:r>
        </w:p>
        <w:p w:rsidR="005A6D4D" w:rsidRPr="00BE7110" w:rsidRDefault="00BE7110" w:rsidP="00605AA1">
          <w:pPr>
            <w:autoSpaceDE w:val="0"/>
            <w:autoSpaceDN w:val="0"/>
            <w:adjustRightInd w:val="0"/>
            <w:spacing w:after="0" w:line="240" w:lineRule="auto"/>
            <w:jc w:val="both"/>
            <w:rPr>
              <w:sz w:val="24"/>
              <w:szCs w:val="24"/>
            </w:rPr>
          </w:pPr>
          <w:r w:rsidRPr="00BE7110">
            <w:rPr>
              <w:rFonts w:cstheme="minorHAnsi"/>
              <w:sz w:val="24"/>
              <w:szCs w:val="24"/>
            </w:rPr>
            <w:t xml:space="preserve">El suministro total de la prestación de servicios de mano de obra complementaria para construcción de empedrado en la calle de </w:t>
          </w:r>
          <w:r w:rsidR="003D5BF6">
            <w:rPr>
              <w:rFonts w:ascii="Book Antiqua" w:hAnsi="Book Antiqua"/>
              <w:sz w:val="24"/>
              <w:szCs w:val="24"/>
            </w:rPr>
            <w:t>Parcela</w:t>
          </w:r>
          <w:r w:rsidRPr="00BE7110">
            <w:rPr>
              <w:rFonts w:cstheme="minorHAnsi"/>
              <w:sz w:val="24"/>
              <w:szCs w:val="24"/>
            </w:rPr>
            <w:t xml:space="preserve"> objeto de esta licitación, deberá realizarse en un plazo máximo de 30 días naturales posteriores a la firma del contrato.  </w:t>
          </w: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1B1FC1" w:rsidRDefault="005A6D4D" w:rsidP="00F04F40">
          <w:pPr>
            <w:autoSpaceDE w:val="0"/>
            <w:autoSpaceDN w:val="0"/>
            <w:adjustRightInd w:val="0"/>
            <w:spacing w:after="0" w:line="240" w:lineRule="auto"/>
            <w:rPr>
              <w:rFonts w:cstheme="minorHAnsi"/>
              <w:b/>
              <w:color w:val="FF0000"/>
              <w:sz w:val="24"/>
              <w:szCs w:val="24"/>
            </w:rPr>
          </w:pPr>
          <w:r w:rsidRPr="001B1FC1">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1B1FC1">
            <w:rPr>
              <w:sz w:val="24"/>
              <w:szCs w:val="24"/>
            </w:rPr>
            <w:t>El periodo mínimo de garantía a ofrecer por los licitantes  en l</w:t>
          </w:r>
          <w:r w:rsidR="001B1FC1">
            <w:rPr>
              <w:sz w:val="24"/>
              <w:szCs w:val="24"/>
            </w:rPr>
            <w:t>a presente licitación, será de 12</w:t>
          </w:r>
          <w:r w:rsidRPr="001B1FC1">
            <w:rPr>
              <w:sz w:val="24"/>
              <w:szCs w:val="24"/>
            </w:rPr>
            <w:t xml:space="preserve"> mese</w:t>
          </w:r>
          <w:r w:rsidR="001B1FC1">
            <w:rPr>
              <w:sz w:val="24"/>
              <w:szCs w:val="24"/>
            </w:rPr>
            <w:t>s contra defectos de construcción</w:t>
          </w:r>
          <w:r w:rsidRPr="001B1FC1">
            <w:rPr>
              <w:sz w:val="24"/>
              <w:szCs w:val="24"/>
            </w:rPr>
            <w:t xml:space="preserve">, contado a partir de la fecha de entrega total de los </w:t>
          </w:r>
          <w:r w:rsidR="001B1FC1">
            <w:rPr>
              <w:sz w:val="24"/>
              <w:szCs w:val="24"/>
            </w:rPr>
            <w:t>servicios</w:t>
          </w:r>
          <w:r w:rsidRPr="001B1FC1">
            <w:rPr>
              <w:sz w:val="24"/>
              <w:szCs w:val="24"/>
            </w:rPr>
            <w:t xml:space="preserve"> materia de las presentes bases a entera satisfacción de “La Convocante”. El licitante ganador tendrá que presentar fianza de garantía por el 10% del monto del contrato; esta garantía tendrá como objeto responder contra los defectos de </w:t>
          </w:r>
          <w:r w:rsidR="001B1FC1">
            <w:rPr>
              <w:sz w:val="24"/>
              <w:szCs w:val="24"/>
            </w:rPr>
            <w:t>construcción</w:t>
          </w:r>
          <w:r w:rsidRPr="001B1FC1">
            <w:rPr>
              <w:sz w:val="24"/>
              <w:szCs w:val="24"/>
            </w:rPr>
            <w:t xml:space="preserve"> y vicios ocultos que en su caso se presenten en los </w:t>
          </w:r>
          <w:r w:rsidR="001B1FC1">
            <w:rPr>
              <w:sz w:val="24"/>
              <w:szCs w:val="24"/>
            </w:rPr>
            <w:t>servicios</w:t>
          </w:r>
          <w:r w:rsidRPr="001B1FC1">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3D5BF6">
            <w:rPr>
              <w:rFonts w:cstheme="minorHAnsi"/>
              <w:b/>
              <w:color w:val="FF0000"/>
              <w:sz w:val="24"/>
              <w:szCs w:val="24"/>
            </w:rPr>
            <w:t>26</w:t>
          </w:r>
          <w:r w:rsidR="0031797D">
            <w:rPr>
              <w:rFonts w:cstheme="minorHAnsi"/>
              <w:b/>
              <w:color w:val="FF0000"/>
              <w:sz w:val="24"/>
              <w:szCs w:val="24"/>
            </w:rPr>
            <w:t>/2021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3D5BF6" w:rsidRPr="003D5BF6" w:rsidRDefault="0092125D" w:rsidP="003D5BF6">
          <w:pPr>
            <w:spacing w:after="0"/>
            <w:jc w:val="both"/>
            <w:rPr>
              <w:rFonts w:ascii="Arial" w:hAnsi="Arial" w:cs="Arial"/>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3D5BF6" w:rsidRPr="003D5BF6">
            <w:rPr>
              <w:rFonts w:ascii="Arial" w:hAnsi="Arial" w:cs="Arial"/>
            </w:rPr>
            <w:t>“PRESTACIÓN DE SERVICIOS DE MANO DE OBRA COMPLEMENTARIA PARA LA OBRA DENOMINADA - CONSTRUCCIÓN DE EMPEDRADO ZAMPEADO EN LA CALLE PARCELA ENTRE LAS CALLES EMILIANO ZAPATA Y CARLOS PÁEZ STILLE – DEL MUNICIPIO DE ZAPOTLÁN EL GRANDE, JALISCO”.</w:t>
          </w:r>
        </w:p>
        <w:p w:rsidR="002F5F6A" w:rsidRPr="009A250F" w:rsidRDefault="002F5F6A" w:rsidP="009A250F">
          <w:pPr>
            <w:jc w:val="both"/>
            <w:rPr>
              <w:rFonts w:cstheme="minorHAnsi"/>
              <w:sz w:val="24"/>
              <w:szCs w:val="24"/>
            </w:rPr>
          </w:pP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w:t>
          </w:r>
          <w:r w:rsidR="0081745C" w:rsidRPr="00884889">
            <w:rPr>
              <w:rFonts w:cstheme="minorHAnsi"/>
              <w:sz w:val="24"/>
              <w:szCs w:val="24"/>
            </w:rPr>
            <w:lastRenderedPageBreak/>
            <w:t>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3C41F2" w:rsidRPr="00605AA1" w:rsidRDefault="00EB5AA1" w:rsidP="0060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p w:rsidR="004E37C1" w:rsidRDefault="004E37C1" w:rsidP="003D5BF6">
          <w:pPr>
            <w:pStyle w:val="Default"/>
            <w:jc w:val="both"/>
            <w:rPr>
              <w:rFonts w:ascii="Arial" w:hAnsi="Arial" w:cs="Arial"/>
              <w:color w:val="auto"/>
              <w:sz w:val="16"/>
              <w:szCs w:val="16"/>
            </w:rPr>
          </w:pPr>
        </w:p>
        <w:p w:rsidR="003D5BF6" w:rsidRPr="00B039BD" w:rsidRDefault="003D5BF6" w:rsidP="003D5BF6">
          <w:pPr>
            <w:pStyle w:val="Default"/>
            <w:rPr>
              <w:rFonts w:ascii="Arial" w:hAnsi="Arial" w:cs="Arial"/>
              <w:color w:val="auto"/>
              <w:sz w:val="16"/>
              <w:szCs w:val="16"/>
            </w:rPr>
          </w:pPr>
        </w:p>
        <w:tbl>
          <w:tblPr>
            <w:tblStyle w:val="Tablaconcuadrcula"/>
            <w:tblW w:w="0" w:type="auto"/>
            <w:tblInd w:w="-147" w:type="dxa"/>
            <w:tblLook w:val="04A0" w:firstRow="1" w:lastRow="0" w:firstColumn="1" w:lastColumn="0" w:noHBand="0" w:noVBand="1"/>
          </w:tblPr>
          <w:tblGrid>
            <w:gridCol w:w="1016"/>
            <w:gridCol w:w="1156"/>
            <w:gridCol w:w="6803"/>
          </w:tblGrid>
          <w:tr w:rsidR="003D5BF6" w:rsidTr="003D5BF6">
            <w:tc>
              <w:tcPr>
                <w:tcW w:w="1016" w:type="dxa"/>
                <w:vAlign w:val="center"/>
              </w:tcPr>
              <w:p w:rsidR="003D5BF6" w:rsidRPr="003D5BF6" w:rsidRDefault="003D5BF6" w:rsidP="00160EC6">
                <w:pPr>
                  <w:pStyle w:val="Default"/>
                  <w:jc w:val="center"/>
                  <w:rPr>
                    <w:rFonts w:ascii="Arial" w:hAnsi="Arial" w:cs="Arial"/>
                    <w:b/>
                    <w:color w:val="auto"/>
                    <w:sz w:val="18"/>
                    <w:szCs w:val="18"/>
                  </w:rPr>
                </w:pPr>
                <w:r w:rsidRPr="003D5BF6">
                  <w:rPr>
                    <w:rFonts w:ascii="Arial" w:hAnsi="Arial" w:cs="Arial"/>
                    <w:b/>
                    <w:color w:val="auto"/>
                    <w:sz w:val="18"/>
                    <w:szCs w:val="18"/>
                  </w:rPr>
                  <w:t>PARTIDA</w:t>
                </w:r>
              </w:p>
            </w:tc>
            <w:tc>
              <w:tcPr>
                <w:tcW w:w="1156" w:type="dxa"/>
                <w:vAlign w:val="center"/>
              </w:tcPr>
              <w:p w:rsidR="003D5BF6" w:rsidRPr="003D5BF6" w:rsidRDefault="003D5BF6" w:rsidP="00160EC6">
                <w:pPr>
                  <w:pStyle w:val="Default"/>
                  <w:jc w:val="center"/>
                  <w:rPr>
                    <w:rFonts w:ascii="Arial" w:hAnsi="Arial" w:cs="Arial"/>
                    <w:b/>
                    <w:color w:val="auto"/>
                    <w:sz w:val="18"/>
                    <w:szCs w:val="18"/>
                  </w:rPr>
                </w:pPr>
                <w:r w:rsidRPr="003D5BF6">
                  <w:rPr>
                    <w:rFonts w:ascii="Arial" w:hAnsi="Arial" w:cs="Arial"/>
                    <w:b/>
                    <w:color w:val="auto"/>
                    <w:sz w:val="18"/>
                    <w:szCs w:val="18"/>
                  </w:rPr>
                  <w:t>CANTIDAD</w:t>
                </w:r>
              </w:p>
            </w:tc>
            <w:tc>
              <w:tcPr>
                <w:tcW w:w="6803" w:type="dxa"/>
                <w:vAlign w:val="center"/>
              </w:tcPr>
              <w:p w:rsidR="003D5BF6" w:rsidRPr="00294828" w:rsidRDefault="003D5BF6" w:rsidP="00160EC6">
                <w:pPr>
                  <w:pStyle w:val="Default"/>
                  <w:jc w:val="center"/>
                  <w:rPr>
                    <w:rFonts w:ascii="Arial" w:hAnsi="Arial" w:cs="Arial"/>
                    <w:b/>
                    <w:color w:val="auto"/>
                    <w:sz w:val="20"/>
                    <w:szCs w:val="20"/>
                  </w:rPr>
                </w:pPr>
                <w:r>
                  <w:rPr>
                    <w:rFonts w:ascii="Arial" w:hAnsi="Arial" w:cs="Arial"/>
                    <w:b/>
                    <w:color w:val="auto"/>
                    <w:sz w:val="20"/>
                    <w:szCs w:val="20"/>
                  </w:rPr>
                  <w:t>DESCRIPCIÓN</w:t>
                </w:r>
              </w:p>
            </w:tc>
          </w:tr>
          <w:tr w:rsidR="003D5BF6" w:rsidTr="003D5BF6">
            <w:tc>
              <w:tcPr>
                <w:tcW w:w="1016" w:type="dxa"/>
                <w:vAlign w:val="center"/>
              </w:tcPr>
              <w:p w:rsidR="003D5BF6" w:rsidRPr="009B6FBD" w:rsidRDefault="003D5BF6" w:rsidP="00160EC6">
                <w:pPr>
                  <w:autoSpaceDE w:val="0"/>
                  <w:autoSpaceDN w:val="0"/>
                  <w:adjustRightInd w:val="0"/>
                  <w:jc w:val="center"/>
                  <w:rPr>
                    <w:rFonts w:ascii="Book Antiqua" w:hAnsi="Book Antiqua"/>
                    <w:b/>
                  </w:rPr>
                </w:pPr>
                <w:r w:rsidRPr="009B6FBD">
                  <w:rPr>
                    <w:rFonts w:ascii="Book Antiqua" w:hAnsi="Book Antiqua"/>
                    <w:b/>
                  </w:rPr>
                  <w:t>1</w:t>
                </w:r>
              </w:p>
            </w:tc>
            <w:tc>
              <w:tcPr>
                <w:tcW w:w="1156" w:type="dxa"/>
                <w:vAlign w:val="center"/>
              </w:tcPr>
              <w:p w:rsidR="003D5BF6" w:rsidRPr="009B7FBC" w:rsidRDefault="003D5BF6" w:rsidP="00160EC6">
                <w:pPr>
                  <w:autoSpaceDE w:val="0"/>
                  <w:autoSpaceDN w:val="0"/>
                  <w:adjustRightInd w:val="0"/>
                  <w:jc w:val="center"/>
                  <w:rPr>
                    <w:rFonts w:ascii="Book Antiqua" w:hAnsi="Book Antiqua"/>
                    <w:b/>
                  </w:rPr>
                </w:pPr>
                <w:r>
                  <w:rPr>
                    <w:rFonts w:ascii="Book Antiqua" w:hAnsi="Book Antiqua"/>
                    <w:b/>
                  </w:rPr>
                  <w:t>1,237.97</w:t>
                </w:r>
              </w:p>
              <w:p w:rsidR="003D5BF6" w:rsidRPr="00A854A2" w:rsidRDefault="003D5BF6" w:rsidP="00160EC6">
                <w:pPr>
                  <w:autoSpaceDE w:val="0"/>
                  <w:autoSpaceDN w:val="0"/>
                  <w:adjustRightInd w:val="0"/>
                  <w:jc w:val="center"/>
                  <w:rPr>
                    <w:rFonts w:ascii="Book Antiqua" w:hAnsi="Book Antiqua"/>
                    <w:b/>
                  </w:rPr>
                </w:pPr>
                <w:r w:rsidRPr="009B7FBC">
                  <w:rPr>
                    <w:rFonts w:ascii="Book Antiqua" w:hAnsi="Book Antiqua"/>
                    <w:b/>
                  </w:rPr>
                  <w:t>metros cuadrados</w:t>
                </w:r>
              </w:p>
            </w:tc>
            <w:tc>
              <w:tcPr>
                <w:tcW w:w="6803" w:type="dxa"/>
                <w:vAlign w:val="center"/>
              </w:tcPr>
              <w:p w:rsidR="003D5BF6" w:rsidRPr="003D5BF6" w:rsidRDefault="003D5BF6" w:rsidP="003D5BF6">
                <w:pPr>
                  <w:autoSpaceDE w:val="0"/>
                  <w:autoSpaceDN w:val="0"/>
                  <w:adjustRightInd w:val="0"/>
                  <w:jc w:val="both"/>
                  <w:rPr>
                    <w:rFonts w:ascii="Book Antiqua" w:hAnsi="Book Antiqua"/>
                    <w:b/>
                  </w:rPr>
                </w:pPr>
                <w:r>
                  <w:rPr>
                    <w:rFonts w:ascii="Book Antiqua" w:hAnsi="Book Antiqua"/>
                    <w:b/>
                  </w:rPr>
                  <w:t>Contratación de prestación de servicios de mano de obra complementaria de</w:t>
                </w:r>
                <w:r w:rsidRPr="00A854A2">
                  <w:rPr>
                    <w:rFonts w:ascii="Book Antiqua" w:hAnsi="Book Antiqua"/>
                    <w:b/>
                  </w:rPr>
                  <w:t xml:space="preserve"> la obra </w:t>
                </w:r>
                <w:r>
                  <w:rPr>
                    <w:rFonts w:ascii="Book Antiqua" w:hAnsi="Book Antiqua"/>
                    <w:b/>
                    <w:sz w:val="18"/>
                    <w:szCs w:val="18"/>
                  </w:rPr>
                  <w:t>B217-2020 Construcción de Empedrado Z</w:t>
                </w:r>
                <w:r w:rsidRPr="005F6D62">
                  <w:rPr>
                    <w:rFonts w:ascii="Book Antiqua" w:hAnsi="Book Antiqua"/>
                    <w:b/>
                    <w:sz w:val="18"/>
                    <w:szCs w:val="18"/>
                  </w:rPr>
                  <w:t>ampeado en la calle</w:t>
                </w:r>
              </w:p>
              <w:p w:rsidR="003D5BF6" w:rsidRPr="00A854A2" w:rsidRDefault="003D5BF6" w:rsidP="003D5BF6">
                <w:pPr>
                  <w:autoSpaceDE w:val="0"/>
                  <w:autoSpaceDN w:val="0"/>
                  <w:adjustRightInd w:val="0"/>
                  <w:jc w:val="both"/>
                  <w:rPr>
                    <w:rFonts w:ascii="Book Antiqua" w:hAnsi="Book Antiqua"/>
                    <w:b/>
                  </w:rPr>
                </w:pPr>
                <w:r>
                  <w:rPr>
                    <w:rFonts w:ascii="Book Antiqua" w:hAnsi="Book Antiqua"/>
                    <w:b/>
                    <w:sz w:val="18"/>
                    <w:szCs w:val="18"/>
                  </w:rPr>
                  <w:t>PARCELA</w:t>
                </w:r>
                <w:r w:rsidRPr="00180D3E">
                  <w:rPr>
                    <w:rFonts w:ascii="Book Antiqua" w:hAnsi="Book Antiqua"/>
                    <w:b/>
                    <w:sz w:val="18"/>
                    <w:szCs w:val="18"/>
                  </w:rPr>
                  <w:t xml:space="preserve"> </w:t>
                </w:r>
                <w:r>
                  <w:rPr>
                    <w:rFonts w:ascii="Book Antiqua" w:hAnsi="Book Antiqua"/>
                    <w:b/>
                    <w:sz w:val="18"/>
                    <w:szCs w:val="18"/>
                  </w:rPr>
                  <w:t xml:space="preserve">entre las calles Emiliano Zapata y Carlos Páez </w:t>
                </w:r>
                <w:proofErr w:type="spellStart"/>
                <w:r>
                  <w:rPr>
                    <w:rFonts w:ascii="Book Antiqua" w:hAnsi="Book Antiqua"/>
                    <w:b/>
                    <w:sz w:val="18"/>
                    <w:szCs w:val="18"/>
                  </w:rPr>
                  <w:t>Stille</w:t>
                </w:r>
                <w:proofErr w:type="spellEnd"/>
                <w:r>
                  <w:rPr>
                    <w:rFonts w:ascii="Book Antiqua" w:hAnsi="Book Antiqua"/>
                    <w:b/>
                    <w:sz w:val="18"/>
                    <w:szCs w:val="18"/>
                  </w:rPr>
                  <w:t>.</w:t>
                </w:r>
              </w:p>
            </w:tc>
          </w:tr>
        </w:tbl>
        <w:p w:rsidR="004E37C1" w:rsidRPr="00B039BD" w:rsidRDefault="004E37C1" w:rsidP="004E37C1">
          <w:pPr>
            <w:pStyle w:val="Default"/>
            <w:jc w:val="both"/>
            <w:rPr>
              <w:rFonts w:ascii="Arial" w:hAnsi="Arial" w:cs="Arial"/>
              <w:color w:val="auto"/>
              <w:sz w:val="16"/>
              <w:szCs w:val="16"/>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w:t>
          </w:r>
          <w:r w:rsidR="00091CE2">
            <w:rPr>
              <w:rFonts w:cstheme="minorHAnsi"/>
              <w:sz w:val="24"/>
              <w:szCs w:val="24"/>
            </w:rPr>
            <w:lastRenderedPageBreak/>
            <w:t>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1E35BF">
            <w:rPr>
              <w:rFonts w:cstheme="minorHAnsi"/>
              <w:sz w:val="24"/>
              <w:szCs w:val="24"/>
            </w:rPr>
            <w:t xml:space="preserve">lunes </w:t>
          </w:r>
          <w:r w:rsidR="0031797D">
            <w:rPr>
              <w:rFonts w:cstheme="minorHAnsi"/>
              <w:sz w:val="24"/>
              <w:szCs w:val="24"/>
            </w:rPr>
            <w:t>08 de febrero</w:t>
          </w:r>
          <w:r w:rsidR="001E35BF">
            <w:rPr>
              <w:rFonts w:cstheme="minorHAnsi"/>
              <w:sz w:val="24"/>
              <w:szCs w:val="24"/>
            </w:rPr>
            <w:t xml:space="preserve"> de</w:t>
          </w:r>
          <w:r w:rsidR="0031797D">
            <w:rPr>
              <w:rFonts w:cstheme="minorHAnsi"/>
              <w:sz w:val="24"/>
              <w:szCs w:val="24"/>
            </w:rPr>
            <w:t>l</w:t>
          </w:r>
          <w:r w:rsidR="001E35BF">
            <w:rPr>
              <w:rFonts w:cstheme="minorHAnsi"/>
              <w:sz w:val="24"/>
              <w:szCs w:val="24"/>
            </w:rPr>
            <w:t xml:space="preserve"> 2021</w:t>
          </w:r>
          <w:r w:rsidRPr="00D91541">
            <w:rPr>
              <w:rFonts w:cstheme="minorHAnsi"/>
              <w:sz w:val="24"/>
              <w:szCs w:val="24"/>
            </w:rPr>
            <w:t>, de</w:t>
          </w:r>
          <w:r>
            <w:rPr>
              <w:rFonts w:cstheme="minorHAnsi"/>
              <w:sz w:val="24"/>
              <w:szCs w:val="24"/>
            </w:rPr>
            <w:t xml:space="preserve"> </w:t>
          </w:r>
          <w:r w:rsidR="005D2E57">
            <w:rPr>
              <w:rFonts w:cstheme="minorHAnsi"/>
              <w:sz w:val="24"/>
              <w:szCs w:val="24"/>
            </w:rPr>
            <w:t>1</w:t>
          </w:r>
          <w:r w:rsidRPr="00D91541">
            <w:rPr>
              <w:rFonts w:cstheme="minorHAnsi"/>
              <w:sz w:val="24"/>
              <w:szCs w:val="24"/>
            </w:rPr>
            <w:t>0</w:t>
          </w:r>
          <w:r w:rsidR="005D2E57">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proofErr w:type="spellStart"/>
          <w:r w:rsidR="004F4D8C" w:rsidRPr="00884889">
            <w:rPr>
              <w:rFonts w:cstheme="minorHAnsi"/>
              <w:sz w:val="24"/>
              <w:szCs w:val="24"/>
            </w:rPr>
            <w:t>ó</w:t>
          </w:r>
          <w:proofErr w:type="spellEnd"/>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385028">
            <w:rPr>
              <w:rFonts w:cstheme="minorHAnsi"/>
              <w:sz w:val="24"/>
              <w:szCs w:val="24"/>
            </w:rPr>
            <w:t>miércoles 10 de febrero</w:t>
          </w:r>
          <w:r w:rsidR="001E35BF" w:rsidRPr="001E35BF">
            <w:rPr>
              <w:rFonts w:cstheme="minorHAnsi"/>
              <w:sz w:val="24"/>
              <w:szCs w:val="24"/>
            </w:rPr>
            <w:t xml:space="preserve"> de</w:t>
          </w:r>
          <w:r w:rsidR="00385028">
            <w:rPr>
              <w:rFonts w:cstheme="minorHAnsi"/>
              <w:sz w:val="24"/>
              <w:szCs w:val="24"/>
            </w:rPr>
            <w:t>l</w:t>
          </w:r>
          <w:r w:rsidR="001E35BF" w:rsidRPr="001E35BF">
            <w:rPr>
              <w:rFonts w:cstheme="minorHAnsi"/>
              <w:sz w:val="24"/>
              <w:szCs w:val="24"/>
            </w:rPr>
            <w:t xml:space="preserv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5D2E57">
            <w:rPr>
              <w:rFonts w:cstheme="minorHAnsi"/>
              <w:sz w:val="24"/>
              <w:szCs w:val="24"/>
            </w:rPr>
            <w:t>cabo a las 10</w:t>
          </w:r>
          <w:r w:rsidRPr="001E35BF">
            <w:rPr>
              <w:rFonts w:cstheme="minorHAnsi"/>
              <w:sz w:val="24"/>
              <w:szCs w:val="24"/>
            </w:rPr>
            <w:t xml:space="preserve">:00 horas del día </w:t>
          </w:r>
          <w:r w:rsidR="003679AA">
            <w:rPr>
              <w:rFonts w:cstheme="minorHAnsi"/>
              <w:sz w:val="24"/>
              <w:szCs w:val="24"/>
            </w:rPr>
            <w:t>viernes 12</w:t>
          </w:r>
          <w:r w:rsidR="0031797D">
            <w:rPr>
              <w:rFonts w:cstheme="minorHAnsi"/>
              <w:sz w:val="24"/>
              <w:szCs w:val="24"/>
            </w:rPr>
            <w:t xml:space="preserve"> de febrero</w:t>
          </w:r>
          <w:r w:rsidR="001E35BF" w:rsidRPr="001E35BF">
            <w:rPr>
              <w:rFonts w:cstheme="minorHAnsi"/>
              <w:sz w:val="24"/>
              <w:szCs w:val="24"/>
            </w:rPr>
            <w:t xml:space="preserve"> de</w:t>
          </w:r>
          <w:r w:rsidR="0031797D">
            <w:rPr>
              <w:rFonts w:cstheme="minorHAnsi"/>
              <w:sz w:val="24"/>
              <w:szCs w:val="24"/>
            </w:rPr>
            <w:t>l</w:t>
          </w:r>
          <w:r w:rsidR="001E35BF" w:rsidRPr="001E35BF">
            <w:rPr>
              <w:rFonts w:cstheme="minorHAnsi"/>
              <w:sz w:val="24"/>
              <w:szCs w:val="24"/>
            </w:rPr>
            <w:t xml:space="preserv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w:t>
          </w:r>
          <w:r w:rsidR="00F77EE0" w:rsidRPr="00F77EE0">
            <w:rPr>
              <w:rFonts w:asciiTheme="minorHAnsi" w:hAnsiTheme="minorHAnsi" w:cstheme="minorHAnsi"/>
              <w:sz w:val="24"/>
              <w:szCs w:val="24"/>
            </w:rPr>
            <w:lastRenderedPageBreak/>
            <w:t xml:space="preserve">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4E37C1" w:rsidRDefault="00E472D3"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4E37C1" w:rsidRDefault="0081745C" w:rsidP="00220672">
          <w:pPr>
            <w:autoSpaceDE w:val="0"/>
            <w:autoSpaceDN w:val="0"/>
            <w:adjustRightInd w:val="0"/>
            <w:spacing w:after="0" w:line="240" w:lineRule="auto"/>
            <w:jc w:val="both"/>
            <w:rPr>
              <w:rFonts w:cstheme="minorHAnsi"/>
              <w:sz w:val="16"/>
              <w:szCs w:val="16"/>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4E37C1" w:rsidRDefault="0081745C" w:rsidP="0081745C">
          <w:pPr>
            <w:autoSpaceDE w:val="0"/>
            <w:autoSpaceDN w:val="0"/>
            <w:adjustRightInd w:val="0"/>
            <w:spacing w:after="0" w:line="240" w:lineRule="auto"/>
            <w:jc w:val="both"/>
            <w:rPr>
              <w:rFonts w:cstheme="minorHAnsi"/>
              <w:sz w:val="16"/>
              <w:szCs w:val="16"/>
            </w:rPr>
          </w:pPr>
        </w:p>
        <w:p w:rsidR="00220672" w:rsidRDefault="0081745C" w:rsidP="003D5BF6">
          <w:pPr>
            <w:spacing w:after="0"/>
            <w:jc w:val="both"/>
            <w:rPr>
              <w:rFonts w:ascii="Arial" w:hAnsi="Arial" w:cs="Arial"/>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3D5BF6">
            <w:rPr>
              <w:rFonts w:cstheme="minorHAnsi"/>
              <w:sz w:val="24"/>
              <w:szCs w:val="24"/>
            </w:rPr>
            <w:t>MUNICIPAL 026</w:t>
          </w:r>
          <w:r w:rsidR="0031797D">
            <w:rPr>
              <w:rFonts w:cstheme="minorHAnsi"/>
              <w:sz w:val="24"/>
              <w:szCs w:val="24"/>
            </w:rPr>
            <w:t>/2021</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3D5BF6" w:rsidRPr="003D5BF6">
            <w:rPr>
              <w:rFonts w:ascii="Arial" w:hAnsi="Arial" w:cs="Arial"/>
            </w:rPr>
            <w:lastRenderedPageBreak/>
            <w:t>“PRESTACIÓN DE SERVICIOS DE MANO DE OBRA COMPLEMENTARIA PARA LA OBRA DENOMINADA - CONSTRUCCIÓN DE EMPEDRADO ZAMPEADO EN LA CALLE PARCELA ENTRE LAS CALLES EMILIANO ZAPATA Y CARLOS PÁEZ STILLE – DEL MUNICIPIO DE ZAPOTLÁN EL GRANDE, JALISCO”.</w:t>
          </w:r>
        </w:p>
        <w:p w:rsidR="003D5BF6" w:rsidRPr="003D5BF6" w:rsidRDefault="003D5BF6" w:rsidP="003D5BF6">
          <w:pPr>
            <w:spacing w:after="0"/>
            <w:jc w:val="both"/>
            <w:rPr>
              <w:rFonts w:ascii="Arial" w:hAnsi="Arial" w:cs="Arial"/>
              <w:sz w:val="16"/>
              <w:szCs w:val="16"/>
            </w:rPr>
          </w:pP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D75F62">
            <w:rPr>
              <w:rFonts w:asciiTheme="minorHAnsi" w:hAnsiTheme="minorHAnsi" w:cstheme="minorHAnsi"/>
              <w:sz w:val="24"/>
              <w:szCs w:val="24"/>
            </w:rPr>
            <w:t>lunes 15 de febrer</w:t>
          </w:r>
          <w:r w:rsidR="001E35BF" w:rsidRPr="001E35BF">
            <w:rPr>
              <w:rFonts w:asciiTheme="minorHAnsi" w:hAnsiTheme="minorHAnsi" w:cstheme="minorHAnsi"/>
              <w:sz w:val="24"/>
              <w:szCs w:val="24"/>
            </w:rPr>
            <w:t>o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D75F62">
            <w:rPr>
              <w:rFonts w:cstheme="minorHAnsi"/>
              <w:sz w:val="24"/>
              <w:szCs w:val="24"/>
            </w:rPr>
            <w:t>lunes 15 de febrero</w:t>
          </w:r>
          <w:r w:rsidR="001E35BF" w:rsidRPr="001E35BF">
            <w:rPr>
              <w:rFonts w:cstheme="minorHAnsi"/>
              <w:sz w:val="24"/>
              <w:szCs w:val="24"/>
            </w:rPr>
            <w:t xml:space="preserve">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D75F62">
            <w:rPr>
              <w:rFonts w:cstheme="minorHAnsi"/>
              <w:sz w:val="24"/>
              <w:szCs w:val="24"/>
            </w:rPr>
            <w:t>lunes 15 de febrero</w:t>
          </w:r>
          <w:r w:rsidR="001E35BF">
            <w:rPr>
              <w:rFonts w:cstheme="minorHAnsi"/>
              <w:sz w:val="24"/>
              <w:szCs w:val="24"/>
            </w:rPr>
            <w:t xml:space="preserve">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D75F62">
            <w:rPr>
              <w:rFonts w:cstheme="minorHAnsi"/>
              <w:sz w:val="24"/>
              <w:szCs w:val="24"/>
            </w:rPr>
            <w:t>lunes 15 de febrero</w:t>
          </w:r>
          <w:r w:rsidR="001E35BF">
            <w:rPr>
              <w:rFonts w:cstheme="minorHAnsi"/>
              <w:sz w:val="24"/>
              <w:szCs w:val="24"/>
            </w:rPr>
            <w:t xml:space="preserve">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lastRenderedPageBreak/>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xml:space="preserve">, procederá a su evaluación y </w:t>
          </w:r>
          <w:r w:rsidR="0081745C" w:rsidRPr="00884889">
            <w:rPr>
              <w:rFonts w:cstheme="minorHAnsi"/>
              <w:sz w:val="24"/>
              <w:szCs w:val="24"/>
            </w:rPr>
            <w:lastRenderedPageBreak/>
            <w:t>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D75F62">
            <w:rPr>
              <w:rFonts w:cstheme="minorHAnsi"/>
              <w:b/>
              <w:sz w:val="24"/>
              <w:szCs w:val="24"/>
            </w:rPr>
            <w:t>martes 16 febrero</w:t>
          </w:r>
          <w:r w:rsidR="001E35BF" w:rsidRPr="001E35BF">
            <w:rPr>
              <w:rFonts w:cstheme="minorHAnsi"/>
              <w:b/>
              <w:sz w:val="24"/>
              <w:szCs w:val="24"/>
            </w:rPr>
            <w:t xml:space="preserve">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lastRenderedPageBreak/>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proofErr w:type="gramStart"/>
          <w:r w:rsidRPr="00884889">
            <w:rPr>
              <w:rFonts w:cstheme="minorHAnsi"/>
              <w:sz w:val="24"/>
              <w:szCs w:val="24"/>
            </w:rPr>
            <w:t>serán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w:t>
          </w:r>
          <w:r w:rsidR="009A1CD9" w:rsidRPr="00C5084C">
            <w:rPr>
              <w:rFonts w:cstheme="minorHAnsi"/>
              <w:sz w:val="24"/>
              <w:szCs w:val="24"/>
            </w:rPr>
            <w:lastRenderedPageBreak/>
            <w:t xml:space="preserve">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 xml:space="preserve">de Adquisiciones, Arrendamientos y Contratación de Servicios del Municipio de Zapotlán el Grande, Jalisco asistentes. “La Convocante” dará a </w:t>
          </w:r>
          <w:r w:rsidR="0081745C" w:rsidRPr="00884889">
            <w:rPr>
              <w:rFonts w:cstheme="minorHAnsi"/>
              <w:sz w:val="24"/>
              <w:szCs w:val="24"/>
            </w:rPr>
            <w:lastRenderedPageBreak/>
            <w:t>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Domicilio:    Av. Primero de Mayo # 126, interiores 19 y 20 (Plaza del Rio).</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Centro, Ciudad Guzmán, CP 49000.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Teléfonos: Línea directa 341 412 8870. Fax 341 575 2500 ext. 550.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Dirección electrónica:   contraloria@ciudadguzman.gob.mx</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775820"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20" w:rsidRDefault="00775820" w:rsidP="0098531E">
      <w:pPr>
        <w:spacing w:after="0" w:line="240" w:lineRule="auto"/>
      </w:pPr>
      <w:r>
        <w:separator/>
      </w:r>
    </w:p>
  </w:endnote>
  <w:endnote w:type="continuationSeparator" w:id="0">
    <w:p w:rsidR="00775820" w:rsidRDefault="00775820"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3679AA" w:rsidRPr="003679AA">
            <w:rPr>
              <w:b/>
              <w:bCs/>
              <w:noProof/>
              <w:color w:val="D34817" w:themeColor="accent1"/>
              <w:sz w:val="32"/>
              <w:szCs w:val="32"/>
              <w:lang w:val="es-ES"/>
            </w:rPr>
            <w:t>20</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3D5BF6">
            <w:rPr>
              <w:rFonts w:cstheme="minorHAnsi"/>
            </w:rPr>
            <w:t>026</w:t>
          </w:r>
          <w:r w:rsidR="0031797D">
            <w:rPr>
              <w:rFonts w:cstheme="minorHAnsi"/>
            </w:rPr>
            <w:t>/2021</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20" w:rsidRDefault="00775820" w:rsidP="0098531E">
      <w:pPr>
        <w:spacing w:after="0" w:line="240" w:lineRule="auto"/>
      </w:pPr>
      <w:r>
        <w:separator/>
      </w:r>
    </w:p>
  </w:footnote>
  <w:footnote w:type="continuationSeparator" w:id="0">
    <w:p w:rsidR="00775820" w:rsidRDefault="00775820"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0E17E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579E1"/>
    <w:rsid w:val="00061C20"/>
    <w:rsid w:val="000624AF"/>
    <w:rsid w:val="00062F55"/>
    <w:rsid w:val="00063759"/>
    <w:rsid w:val="000639C5"/>
    <w:rsid w:val="00066BC3"/>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D6C"/>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1FC1"/>
    <w:rsid w:val="001B622A"/>
    <w:rsid w:val="001C271B"/>
    <w:rsid w:val="001C37BD"/>
    <w:rsid w:val="001C62A2"/>
    <w:rsid w:val="001C6686"/>
    <w:rsid w:val="001D0999"/>
    <w:rsid w:val="001D4737"/>
    <w:rsid w:val="001D769C"/>
    <w:rsid w:val="001E14CD"/>
    <w:rsid w:val="001E35BF"/>
    <w:rsid w:val="001E4B69"/>
    <w:rsid w:val="001E620B"/>
    <w:rsid w:val="001F1245"/>
    <w:rsid w:val="001F192E"/>
    <w:rsid w:val="001F52DB"/>
    <w:rsid w:val="001F5763"/>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1EB"/>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C71AB"/>
    <w:rsid w:val="002D3217"/>
    <w:rsid w:val="002E0EFC"/>
    <w:rsid w:val="002E1F4A"/>
    <w:rsid w:val="002E2980"/>
    <w:rsid w:val="002E5612"/>
    <w:rsid w:val="002F3942"/>
    <w:rsid w:val="002F4EB1"/>
    <w:rsid w:val="002F5F6A"/>
    <w:rsid w:val="002F664F"/>
    <w:rsid w:val="00303AE6"/>
    <w:rsid w:val="0030512C"/>
    <w:rsid w:val="0030545B"/>
    <w:rsid w:val="00306BEA"/>
    <w:rsid w:val="0031360A"/>
    <w:rsid w:val="00313882"/>
    <w:rsid w:val="003157A7"/>
    <w:rsid w:val="0031797D"/>
    <w:rsid w:val="00317D38"/>
    <w:rsid w:val="00321ACA"/>
    <w:rsid w:val="0032216B"/>
    <w:rsid w:val="00323E25"/>
    <w:rsid w:val="00324158"/>
    <w:rsid w:val="00324918"/>
    <w:rsid w:val="00324AB0"/>
    <w:rsid w:val="003250A2"/>
    <w:rsid w:val="00327A90"/>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3ADA"/>
    <w:rsid w:val="00364BD0"/>
    <w:rsid w:val="0036640B"/>
    <w:rsid w:val="003679AA"/>
    <w:rsid w:val="00370CE2"/>
    <w:rsid w:val="003715F9"/>
    <w:rsid w:val="003730FB"/>
    <w:rsid w:val="00375CE1"/>
    <w:rsid w:val="003803A7"/>
    <w:rsid w:val="003840BB"/>
    <w:rsid w:val="00385028"/>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D5BF6"/>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47ECD"/>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37C1"/>
    <w:rsid w:val="004E4422"/>
    <w:rsid w:val="004E4991"/>
    <w:rsid w:val="004E78A5"/>
    <w:rsid w:val="004F0F84"/>
    <w:rsid w:val="004F2D9A"/>
    <w:rsid w:val="004F4C1E"/>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36F3"/>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2E57"/>
    <w:rsid w:val="005D321B"/>
    <w:rsid w:val="005D5A71"/>
    <w:rsid w:val="005E0C03"/>
    <w:rsid w:val="005E2655"/>
    <w:rsid w:val="005E2C4B"/>
    <w:rsid w:val="005E4A70"/>
    <w:rsid w:val="005E706E"/>
    <w:rsid w:val="005F0453"/>
    <w:rsid w:val="005F1D60"/>
    <w:rsid w:val="00600589"/>
    <w:rsid w:val="006041BE"/>
    <w:rsid w:val="00605AA1"/>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D3F"/>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75FA"/>
    <w:rsid w:val="006B18B9"/>
    <w:rsid w:val="006B2D4E"/>
    <w:rsid w:val="006B4A5F"/>
    <w:rsid w:val="006B687D"/>
    <w:rsid w:val="006B7488"/>
    <w:rsid w:val="006C488D"/>
    <w:rsid w:val="006D191B"/>
    <w:rsid w:val="006E0A11"/>
    <w:rsid w:val="006E0EE1"/>
    <w:rsid w:val="006E11CF"/>
    <w:rsid w:val="006E4651"/>
    <w:rsid w:val="006F02A5"/>
    <w:rsid w:val="006F0F10"/>
    <w:rsid w:val="006F1505"/>
    <w:rsid w:val="006F3331"/>
    <w:rsid w:val="006F640F"/>
    <w:rsid w:val="00705E53"/>
    <w:rsid w:val="00706182"/>
    <w:rsid w:val="0071043C"/>
    <w:rsid w:val="00710F03"/>
    <w:rsid w:val="007110F2"/>
    <w:rsid w:val="00714A14"/>
    <w:rsid w:val="00714EDB"/>
    <w:rsid w:val="0071530E"/>
    <w:rsid w:val="0072712E"/>
    <w:rsid w:val="007300D5"/>
    <w:rsid w:val="00730594"/>
    <w:rsid w:val="0073336C"/>
    <w:rsid w:val="00734D31"/>
    <w:rsid w:val="00735595"/>
    <w:rsid w:val="007377B1"/>
    <w:rsid w:val="00737EAD"/>
    <w:rsid w:val="00742DD7"/>
    <w:rsid w:val="007432C5"/>
    <w:rsid w:val="00743422"/>
    <w:rsid w:val="00747739"/>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5820"/>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D6B89"/>
    <w:rsid w:val="007E1FA4"/>
    <w:rsid w:val="007E4F90"/>
    <w:rsid w:val="007E7748"/>
    <w:rsid w:val="007E7E92"/>
    <w:rsid w:val="007F3980"/>
    <w:rsid w:val="007F7D19"/>
    <w:rsid w:val="00800741"/>
    <w:rsid w:val="00802F0D"/>
    <w:rsid w:val="008067E8"/>
    <w:rsid w:val="0081252D"/>
    <w:rsid w:val="0081745C"/>
    <w:rsid w:val="00820BB6"/>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2D47"/>
    <w:rsid w:val="0091409F"/>
    <w:rsid w:val="00914789"/>
    <w:rsid w:val="00916E3F"/>
    <w:rsid w:val="0092125D"/>
    <w:rsid w:val="009222C1"/>
    <w:rsid w:val="00926EDF"/>
    <w:rsid w:val="009311F8"/>
    <w:rsid w:val="0094714B"/>
    <w:rsid w:val="00947378"/>
    <w:rsid w:val="0094784A"/>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A54"/>
    <w:rsid w:val="00A24B22"/>
    <w:rsid w:val="00A24F1B"/>
    <w:rsid w:val="00A25C6A"/>
    <w:rsid w:val="00A31ABF"/>
    <w:rsid w:val="00A31FAC"/>
    <w:rsid w:val="00A439B4"/>
    <w:rsid w:val="00A459BC"/>
    <w:rsid w:val="00A460D6"/>
    <w:rsid w:val="00A56C13"/>
    <w:rsid w:val="00A64F0B"/>
    <w:rsid w:val="00A706B2"/>
    <w:rsid w:val="00A71D5F"/>
    <w:rsid w:val="00A84ADE"/>
    <w:rsid w:val="00A84EC3"/>
    <w:rsid w:val="00A854A2"/>
    <w:rsid w:val="00A92282"/>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152CC"/>
    <w:rsid w:val="00B229A7"/>
    <w:rsid w:val="00B25811"/>
    <w:rsid w:val="00B41A42"/>
    <w:rsid w:val="00B468FF"/>
    <w:rsid w:val="00B4799C"/>
    <w:rsid w:val="00B527F6"/>
    <w:rsid w:val="00B55836"/>
    <w:rsid w:val="00B61D2B"/>
    <w:rsid w:val="00B631F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E7110"/>
    <w:rsid w:val="00BF4698"/>
    <w:rsid w:val="00BF4E3E"/>
    <w:rsid w:val="00C02B12"/>
    <w:rsid w:val="00C04617"/>
    <w:rsid w:val="00C1362B"/>
    <w:rsid w:val="00C139A6"/>
    <w:rsid w:val="00C2200A"/>
    <w:rsid w:val="00C26317"/>
    <w:rsid w:val="00C26DD7"/>
    <w:rsid w:val="00C26E65"/>
    <w:rsid w:val="00C30AB2"/>
    <w:rsid w:val="00C313ED"/>
    <w:rsid w:val="00C5084C"/>
    <w:rsid w:val="00C51560"/>
    <w:rsid w:val="00C51F1E"/>
    <w:rsid w:val="00C52EF1"/>
    <w:rsid w:val="00C54E3B"/>
    <w:rsid w:val="00C55BF4"/>
    <w:rsid w:val="00C60399"/>
    <w:rsid w:val="00C6224F"/>
    <w:rsid w:val="00C639A3"/>
    <w:rsid w:val="00C65AC9"/>
    <w:rsid w:val="00C65F31"/>
    <w:rsid w:val="00C70DE9"/>
    <w:rsid w:val="00C71BCF"/>
    <w:rsid w:val="00C83489"/>
    <w:rsid w:val="00C84FDB"/>
    <w:rsid w:val="00C9346C"/>
    <w:rsid w:val="00C94128"/>
    <w:rsid w:val="00C950A5"/>
    <w:rsid w:val="00C96311"/>
    <w:rsid w:val="00CA22D4"/>
    <w:rsid w:val="00CA43F3"/>
    <w:rsid w:val="00CA7C67"/>
    <w:rsid w:val="00CB2B8D"/>
    <w:rsid w:val="00CC0D99"/>
    <w:rsid w:val="00CC485F"/>
    <w:rsid w:val="00CC5FD8"/>
    <w:rsid w:val="00CC62D4"/>
    <w:rsid w:val="00CD2580"/>
    <w:rsid w:val="00CD7B4C"/>
    <w:rsid w:val="00CE18A3"/>
    <w:rsid w:val="00CE1A63"/>
    <w:rsid w:val="00CE33B5"/>
    <w:rsid w:val="00CE3CE8"/>
    <w:rsid w:val="00CE4591"/>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207C"/>
    <w:rsid w:val="00D53F33"/>
    <w:rsid w:val="00D55AA0"/>
    <w:rsid w:val="00D57617"/>
    <w:rsid w:val="00D613FD"/>
    <w:rsid w:val="00D70EA5"/>
    <w:rsid w:val="00D7162F"/>
    <w:rsid w:val="00D726C4"/>
    <w:rsid w:val="00D73CE5"/>
    <w:rsid w:val="00D75167"/>
    <w:rsid w:val="00D75F0C"/>
    <w:rsid w:val="00D75F62"/>
    <w:rsid w:val="00D77708"/>
    <w:rsid w:val="00D77BD6"/>
    <w:rsid w:val="00D81F6D"/>
    <w:rsid w:val="00D86C95"/>
    <w:rsid w:val="00D90BEF"/>
    <w:rsid w:val="00D91541"/>
    <w:rsid w:val="00D92E27"/>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75E7B"/>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4000"/>
    <w:rsid w:val="00EE5D62"/>
    <w:rsid w:val="00EE746D"/>
    <w:rsid w:val="00EE76FD"/>
    <w:rsid w:val="00EF159B"/>
    <w:rsid w:val="00EF4B7D"/>
    <w:rsid w:val="00EF6D76"/>
    <w:rsid w:val="00EF7783"/>
    <w:rsid w:val="00F00768"/>
    <w:rsid w:val="00F03CD0"/>
    <w:rsid w:val="00F04F40"/>
    <w:rsid w:val="00F13CB1"/>
    <w:rsid w:val="00F14A47"/>
    <w:rsid w:val="00F23631"/>
    <w:rsid w:val="00F2719A"/>
    <w:rsid w:val="00F32109"/>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67665"/>
    <w:rsid w:val="00F70942"/>
    <w:rsid w:val="00F70FF0"/>
    <w:rsid w:val="00F71D60"/>
    <w:rsid w:val="00F72838"/>
    <w:rsid w:val="00F731DF"/>
    <w:rsid w:val="00F73E65"/>
    <w:rsid w:val="00F77708"/>
    <w:rsid w:val="00F77EE0"/>
    <w:rsid w:val="00F84671"/>
    <w:rsid w:val="00F85ECC"/>
    <w:rsid w:val="00F90A9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13C6"/>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DEC0F1-F104-48E1-89D0-F99F896F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7963</Words>
  <Characters>43799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40</cp:revision>
  <cp:lastPrinted>2017-09-06T13:55:00Z</cp:lastPrinted>
  <dcterms:created xsi:type="dcterms:W3CDTF">2020-12-28T18:00:00Z</dcterms:created>
  <dcterms:modified xsi:type="dcterms:W3CDTF">2021-02-04T21:48:00Z</dcterms:modified>
</cp:coreProperties>
</file>