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33D" w:rsidRPr="009861FC" w:rsidRDefault="0026433D" w:rsidP="0026433D">
      <w:pPr>
        <w:tabs>
          <w:tab w:val="left" w:pos="0"/>
          <w:tab w:val="left" w:pos="142"/>
        </w:tabs>
        <w:spacing w:line="360" w:lineRule="auto"/>
        <w:jc w:val="both"/>
        <w:rPr>
          <w:rFonts w:ascii="Arial" w:hAnsi="Arial" w:cs="Arial"/>
          <w:sz w:val="28"/>
          <w:szCs w:val="28"/>
        </w:rPr>
      </w:pPr>
      <w:r w:rsidRPr="009861FC">
        <w:rPr>
          <w:rFonts w:ascii="Arial" w:hAnsi="Arial" w:cs="Arial"/>
          <w:sz w:val="28"/>
          <w:szCs w:val="28"/>
        </w:rPr>
        <w:t xml:space="preserve">En Ciudad Guzmán, Municipio de Zapotlán el </w:t>
      </w:r>
      <w:r>
        <w:rPr>
          <w:rFonts w:ascii="Arial" w:hAnsi="Arial" w:cs="Arial"/>
          <w:sz w:val="28"/>
          <w:szCs w:val="28"/>
        </w:rPr>
        <w:t>Grande, Jalisco, siendo las 16:11 hrs. dieciséis</w:t>
      </w:r>
      <w:r w:rsidRPr="009861FC">
        <w:rPr>
          <w:rFonts w:ascii="Arial" w:hAnsi="Arial" w:cs="Arial"/>
          <w:sz w:val="28"/>
          <w:szCs w:val="28"/>
        </w:rPr>
        <w:t xml:space="preserve"> horas,</w:t>
      </w:r>
      <w:r>
        <w:rPr>
          <w:rFonts w:ascii="Arial" w:hAnsi="Arial" w:cs="Arial"/>
          <w:sz w:val="28"/>
          <w:szCs w:val="28"/>
        </w:rPr>
        <w:t xml:space="preserve"> con once minutos</w:t>
      </w:r>
      <w:r w:rsidRPr="009861FC">
        <w:rPr>
          <w:rFonts w:ascii="Arial" w:hAnsi="Arial" w:cs="Arial"/>
          <w:sz w:val="28"/>
          <w:szCs w:val="28"/>
        </w:rPr>
        <w:t xml:space="preserve"> </w:t>
      </w:r>
      <w:r>
        <w:rPr>
          <w:rFonts w:ascii="Arial" w:hAnsi="Arial" w:cs="Arial"/>
          <w:sz w:val="28"/>
          <w:szCs w:val="28"/>
        </w:rPr>
        <w:t xml:space="preserve">del día viernes 08 </w:t>
      </w:r>
      <w:r w:rsidRPr="009861FC">
        <w:rPr>
          <w:rFonts w:ascii="Arial" w:hAnsi="Arial" w:cs="Arial"/>
          <w:sz w:val="28"/>
          <w:szCs w:val="28"/>
        </w:rPr>
        <w:t>ocho,</w:t>
      </w:r>
      <w:r>
        <w:rPr>
          <w:rFonts w:ascii="Arial" w:hAnsi="Arial" w:cs="Arial"/>
          <w:sz w:val="28"/>
          <w:szCs w:val="28"/>
        </w:rPr>
        <w:t xml:space="preserve"> de Abril del año 2022 dos mil veintidós</w:t>
      </w:r>
      <w:r w:rsidRPr="009861FC">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Extraordinaria de Ayuntamiento No. 16 dieciséis</w:t>
      </w:r>
      <w:r w:rsidRPr="009861FC">
        <w:rPr>
          <w:rFonts w:ascii="Arial" w:hAnsi="Arial" w:cs="Arial"/>
          <w:sz w:val="28"/>
          <w:szCs w:val="28"/>
        </w:rPr>
        <w:t>. - - - - - - - -</w:t>
      </w:r>
      <w:r>
        <w:rPr>
          <w:rFonts w:ascii="Arial" w:hAnsi="Arial" w:cs="Arial"/>
          <w:sz w:val="28"/>
          <w:szCs w:val="28"/>
        </w:rPr>
        <w:t xml:space="preserve"> - </w:t>
      </w:r>
      <w:r w:rsidRPr="009861FC">
        <w:rPr>
          <w:rFonts w:ascii="Arial" w:hAnsi="Arial" w:cs="Arial"/>
          <w:sz w:val="28"/>
          <w:szCs w:val="28"/>
        </w:rPr>
        <w:t xml:space="preserve"> </w:t>
      </w:r>
    </w:p>
    <w:p w:rsidR="0026433D" w:rsidRPr="009861FC" w:rsidRDefault="0026433D" w:rsidP="0026433D">
      <w:pPr>
        <w:tabs>
          <w:tab w:val="left" w:pos="0"/>
          <w:tab w:val="left" w:pos="142"/>
        </w:tabs>
        <w:spacing w:line="360" w:lineRule="auto"/>
        <w:jc w:val="both"/>
        <w:rPr>
          <w:rFonts w:ascii="Arial" w:hAnsi="Arial" w:cs="Arial"/>
          <w:sz w:val="28"/>
          <w:szCs w:val="28"/>
        </w:rPr>
      </w:pPr>
      <w:r w:rsidRPr="009861FC">
        <w:rPr>
          <w:rFonts w:ascii="Arial" w:hAnsi="Arial" w:cs="Arial"/>
          <w:b/>
          <w:sz w:val="28"/>
          <w:szCs w:val="28"/>
          <w:u w:val="single"/>
        </w:rPr>
        <w:t>PRIMER PUNTO</w:t>
      </w:r>
      <w:r w:rsidRPr="009861FC">
        <w:rPr>
          <w:rFonts w:ascii="Arial" w:hAnsi="Arial" w:cs="Arial"/>
          <w:b/>
          <w:sz w:val="28"/>
          <w:szCs w:val="28"/>
        </w:rPr>
        <w:t xml:space="preserve">: </w:t>
      </w:r>
      <w:r w:rsidRPr="009861FC">
        <w:rPr>
          <w:rFonts w:ascii="Arial" w:hAnsi="Arial" w:cs="Arial"/>
          <w:sz w:val="28"/>
          <w:szCs w:val="28"/>
        </w:rPr>
        <w:t xml:space="preserve">Lista de asistencia, verificación de quórum e instalación de la Sesión. - - - - - - - - - - - - - - - - - - - - - - - - - - </w:t>
      </w:r>
      <w:r w:rsidRPr="009861FC">
        <w:rPr>
          <w:rFonts w:ascii="Arial" w:hAnsi="Arial" w:cs="Arial"/>
          <w:b/>
          <w:i/>
          <w:sz w:val="28"/>
          <w:szCs w:val="28"/>
        </w:rPr>
        <w:t xml:space="preserve">C. Secretaria General Claudia Margarita Robles Gómez: </w:t>
      </w:r>
      <w:r>
        <w:rPr>
          <w:rFonts w:ascii="Arial" w:hAnsi="Arial" w:cs="Arial"/>
          <w:sz w:val="28"/>
          <w:szCs w:val="28"/>
        </w:rPr>
        <w:t>Buenas tardes</w:t>
      </w:r>
      <w:r w:rsidRPr="009861FC">
        <w:rPr>
          <w:rFonts w:ascii="Arial" w:hAnsi="Arial" w:cs="Arial"/>
          <w:sz w:val="28"/>
          <w:szCs w:val="28"/>
        </w:rPr>
        <w:t xml:space="preserve"> Señores Regidores, vamos a dar inicio a esta Sesión de Ayuntamiento, permitiéndome como primer punto pasar lista de asistencia. C. Presidente Municipal Alejandro Barragán Sánchez. C. Síndica Municipal C. Magali Casillas Contreras. C. Regidores: C. Betsy Magaly Campos Corona. C. Ernesto Sánchez Sánchez. C. Diana Laura Ortega Palafox. C. Francisco Ignacio Carrillo Gómez.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Usted</w:t>
      </w:r>
      <w:r>
        <w:rPr>
          <w:rFonts w:ascii="Arial" w:hAnsi="Arial" w:cs="Arial"/>
          <w:sz w:val="28"/>
          <w:szCs w:val="28"/>
        </w:rPr>
        <w:t xml:space="preserve"> la asistencia de los 16 dieciséis</w:t>
      </w:r>
      <w:r w:rsidRPr="009861FC">
        <w:rPr>
          <w:rFonts w:ascii="Arial" w:hAnsi="Arial" w:cs="Arial"/>
          <w:sz w:val="28"/>
          <w:szCs w:val="28"/>
        </w:rPr>
        <w:t xml:space="preserve">, Integrantes de este Ayuntamiento, por lo cual certifico la existencia de quórum legal. </w:t>
      </w:r>
      <w:r w:rsidRPr="009861FC">
        <w:rPr>
          <w:rFonts w:ascii="Arial" w:hAnsi="Arial" w:cs="Arial"/>
          <w:b/>
          <w:i/>
          <w:sz w:val="28"/>
          <w:szCs w:val="28"/>
        </w:rPr>
        <w:t xml:space="preserve">C. Presidente Municipal Alejandro Barragán Sánchez: </w:t>
      </w:r>
      <w:r w:rsidRPr="009861FC">
        <w:rPr>
          <w:rFonts w:ascii="Arial" w:hAnsi="Arial" w:cs="Arial"/>
          <w:sz w:val="28"/>
          <w:szCs w:val="28"/>
        </w:rPr>
        <w:t>Much</w:t>
      </w:r>
      <w:r>
        <w:rPr>
          <w:rFonts w:ascii="Arial" w:hAnsi="Arial" w:cs="Arial"/>
          <w:sz w:val="28"/>
          <w:szCs w:val="28"/>
        </w:rPr>
        <w:t>as gracias Secretaria, muy buenas tardes</w:t>
      </w:r>
      <w:r w:rsidRPr="009861FC">
        <w:rPr>
          <w:rFonts w:ascii="Arial" w:hAnsi="Arial" w:cs="Arial"/>
          <w:sz w:val="28"/>
          <w:szCs w:val="28"/>
        </w:rPr>
        <w:t xml:space="preserve"> a todos. Una vez integrado este Ayuntamiento, declaro formalmente instalada </w:t>
      </w:r>
      <w:r>
        <w:rPr>
          <w:rFonts w:ascii="Arial" w:hAnsi="Arial" w:cs="Arial"/>
          <w:sz w:val="28"/>
          <w:szCs w:val="28"/>
        </w:rPr>
        <w:t xml:space="preserve">esta Sesión </w:t>
      </w:r>
      <w:r>
        <w:rPr>
          <w:rFonts w:ascii="Arial" w:hAnsi="Arial" w:cs="Arial"/>
          <w:sz w:val="28"/>
          <w:szCs w:val="28"/>
        </w:rPr>
        <w:lastRenderedPageBreak/>
        <w:t>Extraordinaria No. 16 dieciséis</w:t>
      </w:r>
      <w:r w:rsidRPr="009861FC">
        <w:rPr>
          <w:rFonts w:ascii="Arial" w:hAnsi="Arial" w:cs="Arial"/>
          <w:sz w:val="28"/>
          <w:szCs w:val="28"/>
        </w:rPr>
        <w:t>, proceda al desahogo de la Sesión, Señora Secretaria. - - - - - - - - - - - - - - - - - - - - -</w:t>
      </w:r>
      <w:r>
        <w:rPr>
          <w:rFonts w:ascii="Arial" w:hAnsi="Arial" w:cs="Arial"/>
          <w:sz w:val="28"/>
          <w:szCs w:val="28"/>
        </w:rPr>
        <w:t xml:space="preserve"> - - - -</w:t>
      </w:r>
      <w:r w:rsidRPr="009861FC">
        <w:rPr>
          <w:rFonts w:ascii="Arial" w:hAnsi="Arial" w:cs="Arial"/>
          <w:b/>
          <w:sz w:val="28"/>
          <w:szCs w:val="28"/>
          <w:u w:val="single"/>
        </w:rPr>
        <w:t>SEGUNDO PUNTO</w:t>
      </w:r>
      <w:r w:rsidRPr="009861FC">
        <w:rPr>
          <w:rFonts w:ascii="Arial" w:hAnsi="Arial" w:cs="Arial"/>
          <w:b/>
          <w:sz w:val="28"/>
          <w:szCs w:val="28"/>
        </w:rPr>
        <w:t>:</w:t>
      </w:r>
      <w:r w:rsidRPr="009861FC">
        <w:rPr>
          <w:rFonts w:ascii="Arial" w:hAnsi="Arial" w:cs="Arial"/>
          <w:sz w:val="28"/>
          <w:szCs w:val="28"/>
        </w:rPr>
        <w:t xml:space="preserve"> Lectura y aprobación del orden del día. -  </w:t>
      </w:r>
      <w:r w:rsidRPr="009861FC">
        <w:rPr>
          <w:rFonts w:ascii="Arial" w:hAnsi="Arial" w:cs="Arial"/>
          <w:b/>
          <w:sz w:val="28"/>
          <w:szCs w:val="28"/>
        </w:rPr>
        <w:t>PRIMERO</w:t>
      </w:r>
      <w:r w:rsidRPr="00A11B46">
        <w:rPr>
          <w:rFonts w:ascii="Arial" w:hAnsi="Arial" w:cs="Arial"/>
          <w:b/>
          <w:sz w:val="28"/>
          <w:szCs w:val="28"/>
        </w:rPr>
        <w:t>.-</w:t>
      </w:r>
      <w:r w:rsidRPr="009861FC">
        <w:rPr>
          <w:rFonts w:ascii="Arial" w:hAnsi="Arial" w:cs="Arial"/>
          <w:sz w:val="28"/>
          <w:szCs w:val="28"/>
        </w:rPr>
        <w:t xml:space="preserve"> Lista de asistencia, verificación de quórum e instalación de la Sesión. - - - - - - - - - - - - - - - - - - - - - - - - - - - </w:t>
      </w:r>
    </w:p>
    <w:p w:rsidR="0026433D" w:rsidRPr="009861FC" w:rsidRDefault="0026433D" w:rsidP="0026433D">
      <w:pPr>
        <w:tabs>
          <w:tab w:val="center" w:pos="4419"/>
          <w:tab w:val="left" w:pos="6058"/>
        </w:tabs>
        <w:spacing w:line="360" w:lineRule="auto"/>
        <w:jc w:val="both"/>
        <w:rPr>
          <w:rFonts w:ascii="Arial" w:hAnsi="Arial" w:cs="Arial"/>
          <w:sz w:val="28"/>
          <w:szCs w:val="28"/>
        </w:rPr>
      </w:pPr>
      <w:r w:rsidRPr="009861FC">
        <w:rPr>
          <w:rFonts w:ascii="Arial" w:hAnsi="Arial" w:cs="Arial"/>
          <w:b/>
          <w:sz w:val="28"/>
          <w:szCs w:val="28"/>
        </w:rPr>
        <w:t>SEGUNDO.-</w:t>
      </w:r>
      <w:r w:rsidRPr="009861FC">
        <w:rPr>
          <w:rFonts w:ascii="Arial" w:hAnsi="Arial" w:cs="Arial"/>
          <w:sz w:val="28"/>
          <w:szCs w:val="28"/>
        </w:rPr>
        <w:t xml:space="preserve"> Lectura y aprobación del Orden del Día. - - - - - - </w:t>
      </w:r>
    </w:p>
    <w:p w:rsidR="0025589A" w:rsidRPr="009D00FA" w:rsidRDefault="0026433D" w:rsidP="009D00FA">
      <w:pPr>
        <w:pStyle w:val="Sinespaciado"/>
        <w:spacing w:line="360" w:lineRule="auto"/>
        <w:jc w:val="both"/>
        <w:rPr>
          <w:rFonts w:ascii="Arial" w:hAnsi="Arial" w:cs="Arial"/>
          <w:bCs/>
          <w:sz w:val="28"/>
          <w:szCs w:val="28"/>
          <w:lang w:val="es-ES"/>
        </w:rPr>
      </w:pPr>
      <w:r w:rsidRPr="009861FC">
        <w:rPr>
          <w:rFonts w:ascii="Arial" w:hAnsi="Arial" w:cs="Arial"/>
          <w:b/>
          <w:sz w:val="28"/>
          <w:szCs w:val="28"/>
        </w:rPr>
        <w:t>TERCERO.-</w:t>
      </w:r>
      <w:r>
        <w:rPr>
          <w:rFonts w:ascii="Arial" w:hAnsi="Arial" w:cs="Arial"/>
          <w:b/>
          <w:sz w:val="28"/>
          <w:szCs w:val="28"/>
        </w:rPr>
        <w:t xml:space="preserve"> </w:t>
      </w:r>
      <w:r w:rsidRPr="0026433D">
        <w:rPr>
          <w:rFonts w:ascii="Arial" w:hAnsi="Arial" w:cs="Arial"/>
          <w:sz w:val="28"/>
          <w:szCs w:val="28"/>
        </w:rPr>
        <w:t xml:space="preserve">Dictamen </w:t>
      </w:r>
      <w:r>
        <w:rPr>
          <w:rFonts w:ascii="Arial" w:hAnsi="Arial" w:cs="Arial"/>
          <w:sz w:val="28"/>
          <w:szCs w:val="28"/>
        </w:rPr>
        <w:t xml:space="preserve">que propone autorización para la transferencia Presupuestal de la Partida 143 ciento cuarenta y tres, de Aportaciones al Sistema para el Retiro, respecto de la incorporación </w:t>
      </w:r>
      <w:r w:rsidR="00AE706A">
        <w:rPr>
          <w:rFonts w:ascii="Arial" w:hAnsi="Arial" w:cs="Arial"/>
          <w:sz w:val="28"/>
          <w:szCs w:val="28"/>
        </w:rPr>
        <w:t xml:space="preserve">total del personal de elección popular al Instituto de Pensiones del Estado de Jalisco. Motiva el C. Regidor Jorge de Jesús Juárez Parra. - - - - - - - - - - - - - - - - - - - - - - - - - - - - </w:t>
      </w:r>
      <w:r w:rsidR="00AE706A" w:rsidRPr="00AE706A">
        <w:rPr>
          <w:rFonts w:ascii="Arial" w:hAnsi="Arial" w:cs="Arial"/>
          <w:b/>
          <w:sz w:val="28"/>
          <w:szCs w:val="28"/>
        </w:rPr>
        <w:t>CUARTO.-</w:t>
      </w:r>
      <w:r w:rsidR="00AE706A">
        <w:rPr>
          <w:rFonts w:ascii="Arial" w:hAnsi="Arial" w:cs="Arial"/>
          <w:sz w:val="28"/>
          <w:szCs w:val="28"/>
        </w:rPr>
        <w:t xml:space="preserve"> Clausura de la Sesión. - - - - - - - - - - - - - - - - - - - - </w:t>
      </w:r>
      <w:r w:rsidR="009D00FA">
        <w:rPr>
          <w:rFonts w:ascii="Arial" w:hAnsi="Arial" w:cs="Arial"/>
          <w:b/>
          <w:bCs/>
          <w:i/>
          <w:sz w:val="28"/>
          <w:szCs w:val="28"/>
          <w:lang w:val="es-ES"/>
        </w:rPr>
        <w:t xml:space="preserve">C. Secretaria General Claudia Margarita Robles Gómez:  </w:t>
      </w:r>
      <w:r w:rsidR="009D00FA">
        <w:rPr>
          <w:rFonts w:ascii="Arial" w:hAnsi="Arial" w:cs="Arial"/>
          <w:bCs/>
          <w:sz w:val="28"/>
          <w:szCs w:val="28"/>
          <w:lang w:val="es-ES"/>
        </w:rPr>
        <w:t xml:space="preserve">Señores Regidores queda a su consideración el orden del día planteado para esta Sesión, les pido que quiénes estén a favor de aprobarlo, lo manifiesten levantando su mano…. </w:t>
      </w:r>
      <w:r w:rsidR="009D00FA">
        <w:rPr>
          <w:rFonts w:ascii="Arial" w:hAnsi="Arial" w:cs="Arial"/>
          <w:b/>
          <w:bCs/>
          <w:sz w:val="28"/>
          <w:szCs w:val="28"/>
          <w:lang w:val="es-ES"/>
        </w:rPr>
        <w:t xml:space="preserve">16 votos a favor, aprobado por unanimidad. </w:t>
      </w:r>
      <w:r w:rsidR="009D00FA">
        <w:rPr>
          <w:rFonts w:ascii="Arial" w:hAnsi="Arial" w:cs="Arial"/>
          <w:bCs/>
          <w:sz w:val="28"/>
          <w:szCs w:val="28"/>
          <w:lang w:val="es-ES"/>
        </w:rPr>
        <w:t>- - - - - - - - - - - - - - - - - -</w:t>
      </w:r>
      <w:r w:rsidR="00D3318F" w:rsidRPr="00D3318F">
        <w:rPr>
          <w:rFonts w:ascii="Arial" w:hAnsi="Arial" w:cs="Arial"/>
          <w:b/>
          <w:sz w:val="28"/>
          <w:szCs w:val="28"/>
          <w:u w:val="single"/>
        </w:rPr>
        <w:t>TERCER PUNTO</w:t>
      </w:r>
      <w:r w:rsidR="00D3318F">
        <w:rPr>
          <w:rFonts w:ascii="Arial" w:hAnsi="Arial" w:cs="Arial"/>
          <w:b/>
          <w:sz w:val="28"/>
          <w:szCs w:val="28"/>
        </w:rPr>
        <w:t xml:space="preserve">: </w:t>
      </w:r>
      <w:r w:rsidR="00D3318F" w:rsidRPr="0026433D">
        <w:rPr>
          <w:rFonts w:ascii="Arial" w:hAnsi="Arial" w:cs="Arial"/>
          <w:sz w:val="28"/>
          <w:szCs w:val="28"/>
        </w:rPr>
        <w:t xml:space="preserve">Dictamen </w:t>
      </w:r>
      <w:r w:rsidR="00D3318F">
        <w:rPr>
          <w:rFonts w:ascii="Arial" w:hAnsi="Arial" w:cs="Arial"/>
          <w:sz w:val="28"/>
          <w:szCs w:val="28"/>
        </w:rPr>
        <w:t xml:space="preserve">que propone autorización para la transferencia Presupuestal de la Partida 143 ciento cuarenta y tres, de Aportaciones al Sistema para el Retiro, respecto de la incorporación total del personal de elección popular al Instituto de Pensiones del Estado de Jalisco. Motiva el C. Regidor Jorge de Jesús Juárez Parra. </w:t>
      </w:r>
      <w:r w:rsidR="00D3318F">
        <w:rPr>
          <w:rFonts w:ascii="Arial" w:hAnsi="Arial" w:cs="Arial"/>
          <w:b/>
          <w:i/>
          <w:sz w:val="28"/>
          <w:szCs w:val="28"/>
        </w:rPr>
        <w:t xml:space="preserve">C. Regidor Jorge de Jesús Juárez Parra: </w:t>
      </w:r>
      <w:r w:rsidR="0025589A" w:rsidRPr="0025589A">
        <w:rPr>
          <w:rFonts w:ascii="Arial" w:hAnsi="Arial" w:cs="Arial"/>
          <w:b/>
          <w:i/>
          <w:sz w:val="28"/>
          <w:szCs w:val="28"/>
        </w:rPr>
        <w:t>HONORABLE AYUNTAMIENTO CONSTITUCIONAL</w:t>
      </w:r>
      <w:r w:rsidR="0025589A" w:rsidRPr="0025589A">
        <w:rPr>
          <w:rFonts w:ascii="Arial" w:hAnsi="Arial" w:cs="Arial"/>
          <w:b/>
          <w:i/>
          <w:sz w:val="28"/>
          <w:szCs w:val="28"/>
        </w:rPr>
        <w:t xml:space="preserve"> </w:t>
      </w:r>
      <w:r w:rsidR="0025589A" w:rsidRPr="0025589A">
        <w:rPr>
          <w:rFonts w:ascii="Arial" w:hAnsi="Arial" w:cs="Arial"/>
          <w:b/>
          <w:i/>
          <w:sz w:val="28"/>
          <w:szCs w:val="28"/>
        </w:rPr>
        <w:t xml:space="preserve">DE ZAPOTLÁN EL GRANDE, JALISCO. </w:t>
      </w:r>
      <w:r w:rsidR="0025589A" w:rsidRPr="0025589A">
        <w:rPr>
          <w:rFonts w:ascii="Arial" w:hAnsi="Arial" w:cs="Arial"/>
          <w:b/>
          <w:i/>
          <w:sz w:val="28"/>
          <w:szCs w:val="28"/>
        </w:rPr>
        <w:t>PRESENT</w:t>
      </w:r>
      <w:r w:rsidR="0025589A" w:rsidRPr="0025589A">
        <w:rPr>
          <w:rFonts w:ascii="Arial" w:hAnsi="Arial" w:cs="Arial"/>
          <w:b/>
          <w:i/>
          <w:sz w:val="28"/>
          <w:szCs w:val="28"/>
        </w:rPr>
        <w:t xml:space="preserve">E </w:t>
      </w:r>
      <w:r w:rsidR="0025589A" w:rsidRPr="0025589A">
        <w:rPr>
          <w:rFonts w:ascii="Arial" w:hAnsi="Arial" w:cs="Arial"/>
          <w:i/>
          <w:sz w:val="28"/>
          <w:szCs w:val="28"/>
        </w:rPr>
        <w:t xml:space="preserve">Quienes motivan y suscriben </w:t>
      </w:r>
      <w:r w:rsidR="0025589A" w:rsidRPr="0025589A">
        <w:rPr>
          <w:rFonts w:ascii="Arial" w:hAnsi="Arial" w:cs="Arial"/>
          <w:b/>
          <w:i/>
          <w:sz w:val="28"/>
          <w:szCs w:val="28"/>
        </w:rPr>
        <w:t xml:space="preserve">C. JORGE DE JESÚS JUÁREZ PARRA, LICENCIADA LAURA ELENA MARTÍNEZ RUVALCABA, MAESTRA TANIA MAGDALENA BERNARDINO JUÁREZ, C. MAGALI CASILLAS CONTRERAS, C. DIANA LAURA ORTEGA PALAFOX, </w:t>
      </w:r>
      <w:r w:rsidR="0025589A" w:rsidRPr="0025589A">
        <w:rPr>
          <w:rFonts w:ascii="Arial" w:hAnsi="Arial" w:cs="Arial"/>
          <w:i/>
          <w:sz w:val="28"/>
          <w:szCs w:val="28"/>
        </w:rPr>
        <w:t xml:space="preserve">con </w:t>
      </w:r>
      <w:r w:rsidR="0025589A" w:rsidRPr="0025589A">
        <w:rPr>
          <w:rFonts w:ascii="Arial" w:hAnsi="Arial" w:cs="Arial"/>
          <w:i/>
          <w:sz w:val="28"/>
          <w:szCs w:val="28"/>
        </w:rPr>
        <w:lastRenderedPageBreak/>
        <w:t xml:space="preserve">el carácter de integrantes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37 fracción II, 50, 75 y 79 de la Ley de Gobierno y la Administración Pública Municipal del Estado de Jalisco; 40, 47, 60, 87, 92, 99, 104 al 109 del Reglamento Interior del Ayuntamiento de Zapotlán el Grande, comparecemos ante este cuerpo colegiado, presentando </w:t>
      </w:r>
      <w:r w:rsidR="0025589A" w:rsidRPr="0025589A">
        <w:rPr>
          <w:rFonts w:ascii="Arial" w:hAnsi="Arial" w:cs="Arial"/>
          <w:b/>
          <w:i/>
          <w:sz w:val="28"/>
          <w:szCs w:val="28"/>
        </w:rPr>
        <w:t xml:space="preserve">DICTAMEN QUE PROPONE AUTORIZACIÓN PARA LA </w:t>
      </w:r>
      <w:r w:rsidR="0025589A" w:rsidRPr="0025589A">
        <w:rPr>
          <w:rFonts w:ascii="Arial" w:eastAsia="Times New Roman" w:hAnsi="Arial" w:cs="Arial"/>
          <w:b/>
          <w:i/>
          <w:color w:val="000000"/>
          <w:sz w:val="28"/>
          <w:szCs w:val="28"/>
          <w:lang w:eastAsia="es-MX"/>
        </w:rPr>
        <w:t>TRANSFERENCIA PRESUPUESTAL DE LA PARTIDA 143 DE APORTACIONES AL SISTEMA PARA EL RETIRO, RESPECTO DE LA INCORPORACIÓN TOTAL DEL PERSONAL DE ELECCIÓN POPULAR AL INSTITUTO DE PENSIONES DEL ESTADO DE JALISCO</w:t>
      </w:r>
      <w:r w:rsidR="0025589A" w:rsidRPr="0025589A">
        <w:rPr>
          <w:rFonts w:ascii="Arial" w:hAnsi="Arial" w:cs="Arial"/>
          <w:i/>
          <w:sz w:val="28"/>
          <w:szCs w:val="28"/>
        </w:rPr>
        <w:t xml:space="preserve">, mismo que se fundamenta en la siguiente: </w:t>
      </w:r>
      <w:r w:rsidR="0025589A" w:rsidRPr="0025589A">
        <w:rPr>
          <w:rFonts w:ascii="Arial" w:hAnsi="Arial" w:cs="Arial"/>
          <w:b/>
          <w:i/>
          <w:sz w:val="28"/>
          <w:szCs w:val="28"/>
        </w:rPr>
        <w:t>EXPOSICIÓN DE MOTIVOS:</w:t>
      </w:r>
      <w:r w:rsidR="0025589A" w:rsidRPr="0025589A">
        <w:rPr>
          <w:rFonts w:ascii="Arial" w:hAnsi="Arial" w:cs="Arial"/>
          <w:b/>
          <w:i/>
          <w:sz w:val="28"/>
          <w:szCs w:val="28"/>
        </w:rPr>
        <w:t xml:space="preserve"> </w:t>
      </w:r>
      <w:r w:rsidR="0025589A" w:rsidRPr="0025589A">
        <w:rPr>
          <w:rFonts w:ascii="Arial" w:hAnsi="Arial" w:cs="Arial"/>
          <w:b/>
          <w:i/>
          <w:sz w:val="28"/>
          <w:szCs w:val="28"/>
        </w:rPr>
        <w:t xml:space="preserve">I.- </w:t>
      </w:r>
      <w:r w:rsidR="0025589A" w:rsidRPr="0025589A">
        <w:rPr>
          <w:rFonts w:ascii="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25589A" w:rsidRPr="0025589A">
        <w:rPr>
          <w:rFonts w:ascii="Arial" w:hAnsi="Arial" w:cs="Arial"/>
          <w:i/>
          <w:sz w:val="28"/>
          <w:szCs w:val="28"/>
        </w:rPr>
        <w:t xml:space="preserve"> </w:t>
      </w:r>
      <w:r w:rsidR="0025589A" w:rsidRPr="0025589A">
        <w:rPr>
          <w:rFonts w:ascii="Arial" w:hAnsi="Arial" w:cs="Arial"/>
          <w:b/>
          <w:i/>
          <w:sz w:val="28"/>
          <w:szCs w:val="28"/>
        </w:rPr>
        <w:t>II.</w:t>
      </w:r>
      <w:r w:rsidR="0025589A" w:rsidRPr="0025589A">
        <w:rPr>
          <w:rFonts w:ascii="Arial" w:hAnsi="Arial" w:cs="Arial"/>
          <w:i/>
          <w:sz w:val="28"/>
          <w:szCs w:val="28"/>
        </w:rPr>
        <w:t xml:space="preserve">- La Constitución </w:t>
      </w:r>
      <w:r w:rsidR="0025589A" w:rsidRPr="0025589A">
        <w:rPr>
          <w:rFonts w:ascii="Arial" w:hAnsi="Arial" w:cs="Arial"/>
          <w:i/>
          <w:sz w:val="28"/>
          <w:szCs w:val="28"/>
        </w:rPr>
        <w:lastRenderedPageBreak/>
        <w:t>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25589A" w:rsidRPr="0025589A">
        <w:rPr>
          <w:rFonts w:ascii="Arial" w:hAnsi="Arial" w:cs="Arial"/>
          <w:bCs/>
          <w:i/>
          <w:sz w:val="28"/>
          <w:szCs w:val="28"/>
          <w:lang w:val="es-ES"/>
        </w:rPr>
        <w:t xml:space="preserve">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al respecto, la fracción X del artículo 15 del mismo ordenamiento establece que los presupuestos de egresos de cada municipio, deberán sujetarse a los principios de equilibrio, sostenibilidad, estabilidad financiera y responsabilidad hacendaria. </w:t>
      </w:r>
      <w:r w:rsidR="0025589A" w:rsidRPr="0025589A">
        <w:rPr>
          <w:rFonts w:ascii="Arial" w:hAnsi="Arial" w:cs="Arial"/>
          <w:b/>
          <w:bCs/>
          <w:i/>
          <w:sz w:val="28"/>
          <w:szCs w:val="28"/>
          <w:lang w:val="es-ES"/>
        </w:rPr>
        <w:t>III.</w:t>
      </w:r>
      <w:r w:rsidR="0025589A" w:rsidRPr="0025589A">
        <w:rPr>
          <w:rFonts w:ascii="Arial" w:hAnsi="Arial" w:cs="Arial"/>
          <w:bCs/>
          <w:i/>
          <w:sz w:val="28"/>
          <w:szCs w:val="28"/>
          <w:lang w:val="es-ES"/>
        </w:rPr>
        <w:t>-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w:t>
      </w:r>
      <w:r w:rsidR="0025589A" w:rsidRPr="0025589A">
        <w:rPr>
          <w:rFonts w:ascii="Arial" w:hAnsi="Arial" w:cs="Arial"/>
          <w:bCs/>
          <w:i/>
          <w:sz w:val="28"/>
          <w:szCs w:val="28"/>
          <w:lang w:val="es-ES"/>
        </w:rPr>
        <w:t xml:space="preserve">acultades de los Ayuntamientos. </w:t>
      </w:r>
      <w:r w:rsidR="0025589A" w:rsidRPr="0025589A">
        <w:rPr>
          <w:rFonts w:ascii="Arial" w:hAnsi="Arial" w:cs="Arial"/>
          <w:b/>
          <w:bCs/>
          <w:i/>
          <w:sz w:val="28"/>
          <w:szCs w:val="28"/>
          <w:lang w:val="es-ES"/>
        </w:rPr>
        <w:t>IV.</w:t>
      </w:r>
      <w:r w:rsidR="0025589A" w:rsidRPr="0025589A">
        <w:rPr>
          <w:rFonts w:ascii="Arial" w:hAnsi="Arial" w:cs="Arial"/>
          <w:bCs/>
          <w:i/>
          <w:sz w:val="28"/>
          <w:szCs w:val="28"/>
          <w:lang w:val="es-ES"/>
        </w:rPr>
        <w:t xml:space="preserve">-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w:t>
      </w:r>
      <w:r w:rsidR="0025589A" w:rsidRPr="0025589A">
        <w:rPr>
          <w:rFonts w:ascii="Arial" w:hAnsi="Arial" w:cs="Arial"/>
          <w:bCs/>
          <w:i/>
          <w:sz w:val="28"/>
          <w:szCs w:val="28"/>
          <w:lang w:val="es-ES"/>
        </w:rPr>
        <w:lastRenderedPageBreak/>
        <w:t xml:space="preserve">la participación social y vecinal; así como, que la aprobación del presupuesto de egresos y en su caso la aplicación del gasto público municipal, se sujetaran a las disposiciones y requisitos establecidos en la 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w:t>
      </w:r>
      <w:r w:rsidR="0025589A" w:rsidRPr="0025589A">
        <w:rPr>
          <w:rFonts w:ascii="Arial" w:hAnsi="Arial" w:cs="Arial"/>
          <w:b/>
          <w:bCs/>
          <w:i/>
          <w:sz w:val="28"/>
          <w:szCs w:val="28"/>
          <w:lang w:val="es-ES"/>
        </w:rPr>
        <w:t xml:space="preserve">V.- </w:t>
      </w:r>
      <w:r w:rsidR="0025589A" w:rsidRPr="0025589A">
        <w:rPr>
          <w:rFonts w:ascii="Arial" w:hAnsi="Arial" w:cs="Arial"/>
          <w:bCs/>
          <w:i/>
          <w:sz w:val="28"/>
          <w:szCs w:val="28"/>
          <w:lang w:val="es-ES"/>
        </w:rPr>
        <w:t xml:space="preserve">Mediante oficio número 476/2022 suscrito por el Licenciado José de Jesús Núñez González Coordinador General de Administración e Innovación Gubernamental, solicita a la Encargada de la Hacienda Municipal se realicen las gestiones tendientes y necesarias para que se genere la suficiencia presupuestal, correspondiente a la afiliación de los integrantes del Cuerpo </w:t>
      </w:r>
      <w:r w:rsidR="0025589A" w:rsidRPr="0025589A">
        <w:rPr>
          <w:rFonts w:ascii="Arial" w:hAnsi="Arial" w:cs="Arial"/>
          <w:bCs/>
          <w:i/>
          <w:sz w:val="28"/>
          <w:szCs w:val="28"/>
          <w:lang w:val="es-ES"/>
        </w:rPr>
        <w:lastRenderedPageBreak/>
        <w:t>Edilicio de este Municipio, ante el Instituto de Pensiones del Estado de Jalisco, en el entendido de que no quedo presupuestado para el ejercicio fiscal 2022, lo anterior con fundamento en lo dispuesto por los artículos 1, 29 fracción I, 33 y demás relativos y aplicables de la Ley del Instituto de Pensiones del Estado de Jalisco, y atendiendo a la reciente reforma en dicha legislación, solicitud esta que se hace con la única finalidad de dar cabal cumplimiento con lo ordenado por la Ley en mención; Así las cosas, en mi calidad de Regidor Presidente de la Comisión Edilicia Permanente de Hacienda Pública y Patrimonio Municipal,  me fue turnado mediante oficio número HPM-188/2022, suscrito por la Encargada de la Hacienda Municipal, en el que de manera medular, solicita que esta Comisión Edilicia Permanente de Hacienda Pública y Patrimonio Municipal, sesione y ponga a consideración de la misma, con motivo de la problemática planteada y se asigne suficiencia presupuestal al ya aprobado presupuesto de egresos para el ejercicio fiscal 2022, en el que se incluyan en el pago de las aportaciones ante el Instituto tantas veces referido,  la totalidad de los Funcionarios Públicos de Elección Popular. Calculo del presupuesto para la incorporación de las Funcionarios de Elección Popular al Instituto der Pensiones del Estado de Jalisco, correspondiente a 19 quincenas del periodo de la segunda quincena de marzo a la segunda quincena de diciembre.</w:t>
      </w:r>
      <w:r w:rsidR="00096282">
        <w:rPr>
          <w:rFonts w:ascii="Arial" w:hAnsi="Arial" w:cs="Arial"/>
          <w:bCs/>
          <w:i/>
          <w:sz w:val="28"/>
          <w:szCs w:val="28"/>
          <w:lang w:val="es-ES"/>
        </w:rPr>
        <w:t xml:space="preserve"> - - - - - - - - - - - - - - - - - - - - - - - - - - - - - - - - - - - - - </w:t>
      </w:r>
      <w:r w:rsidR="0025589A" w:rsidRPr="0025589A">
        <w:rPr>
          <w:rFonts w:ascii="Arial" w:hAnsi="Arial" w:cs="Arial"/>
          <w:bCs/>
          <w:i/>
          <w:sz w:val="28"/>
          <w:szCs w:val="28"/>
          <w:lang w:val="es-ES"/>
        </w:rPr>
        <w:t xml:space="preserve"> </w:t>
      </w:r>
    </w:p>
    <w:p w:rsidR="0025589A" w:rsidRDefault="0025589A" w:rsidP="0025589A">
      <w:pPr>
        <w:pStyle w:val="Sinespaciado"/>
        <w:jc w:val="both"/>
        <w:rPr>
          <w:rFonts w:ascii="Arial" w:hAnsi="Arial" w:cs="Arial"/>
          <w:b/>
          <w:bCs/>
          <w:sz w:val="24"/>
          <w:szCs w:val="24"/>
          <w:lang w:val="es-ES"/>
        </w:rPr>
      </w:pPr>
    </w:p>
    <w:p w:rsidR="0025589A" w:rsidRDefault="0025589A" w:rsidP="0025589A">
      <w:pPr>
        <w:pStyle w:val="Sinespaciado"/>
        <w:jc w:val="both"/>
        <w:rPr>
          <w:rFonts w:ascii="Arial" w:hAnsi="Arial" w:cs="Arial"/>
          <w:bCs/>
          <w:sz w:val="24"/>
          <w:szCs w:val="24"/>
          <w:lang w:val="es-ES"/>
        </w:rPr>
      </w:pPr>
      <w:r>
        <w:rPr>
          <w:noProof/>
          <w:lang w:eastAsia="es-MX"/>
        </w:rPr>
        <w:lastRenderedPageBreak/>
        <w:drawing>
          <wp:inline distT="0" distB="0" distL="0" distR="0">
            <wp:extent cx="4921857" cy="2066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8258" cy="2069613"/>
                    </a:xfrm>
                    <a:prstGeom prst="rect">
                      <a:avLst/>
                    </a:prstGeom>
                    <a:noFill/>
                    <a:ln>
                      <a:noFill/>
                    </a:ln>
                  </pic:spPr>
                </pic:pic>
              </a:graphicData>
            </a:graphic>
          </wp:inline>
        </w:drawing>
      </w:r>
      <w:r>
        <w:rPr>
          <w:rFonts w:ascii="Arial" w:hAnsi="Arial" w:cs="Arial"/>
          <w:bCs/>
          <w:sz w:val="24"/>
          <w:szCs w:val="24"/>
          <w:lang w:val="es-ES"/>
        </w:rPr>
        <w:t xml:space="preserve"> </w:t>
      </w:r>
    </w:p>
    <w:p w:rsidR="0025589A" w:rsidRDefault="0025589A" w:rsidP="0025589A">
      <w:pPr>
        <w:pStyle w:val="Sinespaciado"/>
        <w:jc w:val="both"/>
        <w:rPr>
          <w:rFonts w:ascii="Arial" w:hAnsi="Arial" w:cs="Arial"/>
          <w:bCs/>
          <w:sz w:val="24"/>
          <w:szCs w:val="24"/>
          <w:lang w:val="es-ES"/>
        </w:rPr>
      </w:pPr>
    </w:p>
    <w:p w:rsidR="0025589A" w:rsidRDefault="0025589A" w:rsidP="0025589A">
      <w:pPr>
        <w:pStyle w:val="Sinespaciado"/>
        <w:jc w:val="both"/>
        <w:rPr>
          <w:rFonts w:ascii="Arial" w:hAnsi="Arial" w:cs="Arial"/>
          <w:bCs/>
          <w:sz w:val="24"/>
          <w:szCs w:val="24"/>
          <w:lang w:val="es-ES"/>
        </w:rPr>
      </w:pPr>
    </w:p>
    <w:p w:rsidR="0025589A" w:rsidRDefault="0025589A" w:rsidP="00027904">
      <w:pPr>
        <w:spacing w:line="360" w:lineRule="auto"/>
        <w:jc w:val="both"/>
        <w:rPr>
          <w:rFonts w:ascii="Arial" w:hAnsi="Arial" w:cs="Arial"/>
          <w:i/>
          <w:color w:val="000000"/>
          <w:sz w:val="28"/>
          <w:szCs w:val="28"/>
          <w:lang w:eastAsia="es-MX"/>
        </w:rPr>
      </w:pPr>
      <w:r w:rsidRPr="00027904">
        <w:rPr>
          <w:rFonts w:ascii="Arial" w:hAnsi="Arial" w:cs="Arial"/>
          <w:b/>
          <w:bCs/>
          <w:i/>
          <w:sz w:val="28"/>
          <w:szCs w:val="28"/>
          <w:lang w:val="es-ES"/>
        </w:rPr>
        <w:t>VI</w:t>
      </w:r>
      <w:r w:rsidRPr="00027904">
        <w:rPr>
          <w:rFonts w:ascii="Arial" w:hAnsi="Arial" w:cs="Arial"/>
          <w:bCs/>
          <w:i/>
          <w:sz w:val="28"/>
          <w:szCs w:val="28"/>
          <w:lang w:val="es-ES"/>
        </w:rPr>
        <w:t xml:space="preserve">.- Por su parte, </w:t>
      </w:r>
      <w:r w:rsidRPr="00027904">
        <w:rPr>
          <w:rFonts w:ascii="Arial" w:hAnsi="Arial" w:cs="Arial"/>
          <w:bCs/>
          <w:i/>
          <w:sz w:val="28"/>
          <w:szCs w:val="28"/>
        </w:rPr>
        <w:t xml:space="preserve">la </w:t>
      </w:r>
      <w:r w:rsidRPr="00027904">
        <w:rPr>
          <w:rFonts w:ascii="Arial" w:hAnsi="Arial" w:cs="Arial"/>
          <w:i/>
          <w:sz w:val="28"/>
          <w:szCs w:val="28"/>
        </w:rPr>
        <w:t>Ley del Instituto de Pensiones del Estado de Jalisco, prevé en su articulado, en la parte que interesa, lo siguiente:</w:t>
      </w:r>
      <w:r w:rsidR="00096282" w:rsidRPr="00027904">
        <w:rPr>
          <w:rFonts w:ascii="Arial" w:hAnsi="Arial" w:cs="Arial"/>
          <w:i/>
          <w:sz w:val="28"/>
          <w:szCs w:val="28"/>
        </w:rPr>
        <w:t xml:space="preserve"> </w:t>
      </w:r>
      <w:r w:rsidRPr="00027904">
        <w:rPr>
          <w:rFonts w:ascii="Arial" w:hAnsi="Arial" w:cs="Arial"/>
          <w:b/>
          <w:i/>
          <w:sz w:val="28"/>
          <w:szCs w:val="28"/>
        </w:rPr>
        <w:t>“Artículo 1</w:t>
      </w:r>
      <w:r w:rsidRPr="00027904">
        <w:rPr>
          <w:rFonts w:ascii="Arial" w:hAnsi="Arial" w:cs="Arial"/>
          <w:i/>
          <w:sz w:val="28"/>
          <w:szCs w:val="28"/>
        </w:rPr>
        <w:t>. La presente Ley es de aplicación general y obligatoria en el Estado de Jalisco en la forma y términos que la misma establece, sus disposiciones son de orden público y de interés social, por lo que son nulos de pleno derecho todos los acuerdos de voluntades entre entidades patronales y los afiliados o pensionados que contravengan lo establecido en las disposiciones de esta Ley”.</w:t>
      </w:r>
      <w:r w:rsidR="00096282" w:rsidRPr="00027904">
        <w:rPr>
          <w:rFonts w:ascii="Arial" w:hAnsi="Arial" w:cs="Arial"/>
          <w:i/>
          <w:sz w:val="28"/>
          <w:szCs w:val="28"/>
        </w:rPr>
        <w:t xml:space="preserve"> </w:t>
      </w:r>
      <w:r w:rsidRPr="00027904">
        <w:rPr>
          <w:rFonts w:ascii="Arial" w:hAnsi="Arial" w:cs="Arial"/>
          <w:b/>
          <w:i/>
          <w:sz w:val="28"/>
          <w:szCs w:val="28"/>
        </w:rPr>
        <w:t>“Capítulo II</w:t>
      </w:r>
      <w:r w:rsidR="00096282" w:rsidRPr="00027904">
        <w:rPr>
          <w:rFonts w:ascii="Arial" w:hAnsi="Arial" w:cs="Arial"/>
          <w:b/>
          <w:i/>
          <w:sz w:val="28"/>
          <w:szCs w:val="28"/>
        </w:rPr>
        <w:t xml:space="preserve"> </w:t>
      </w:r>
      <w:r w:rsidRPr="00027904">
        <w:rPr>
          <w:rFonts w:ascii="Arial" w:hAnsi="Arial" w:cs="Arial"/>
          <w:b/>
          <w:i/>
          <w:sz w:val="28"/>
          <w:szCs w:val="28"/>
        </w:rPr>
        <w:t>De las Obligaciones de las Entidades Públicas Patronales</w:t>
      </w:r>
      <w:r w:rsidR="00096282" w:rsidRPr="00027904">
        <w:rPr>
          <w:rFonts w:ascii="Arial" w:hAnsi="Arial" w:cs="Arial"/>
          <w:b/>
          <w:i/>
          <w:sz w:val="28"/>
          <w:szCs w:val="28"/>
        </w:rPr>
        <w:t xml:space="preserve"> </w:t>
      </w:r>
      <w:r w:rsidRPr="00027904">
        <w:rPr>
          <w:rFonts w:ascii="Arial" w:hAnsi="Arial" w:cs="Arial"/>
          <w:b/>
          <w:i/>
          <w:sz w:val="28"/>
          <w:szCs w:val="28"/>
        </w:rPr>
        <w:t>Artículo 8</w:t>
      </w:r>
      <w:r w:rsidRPr="00027904">
        <w:rPr>
          <w:rFonts w:ascii="Arial" w:hAnsi="Arial" w:cs="Arial"/>
          <w:i/>
          <w:sz w:val="28"/>
          <w:szCs w:val="28"/>
        </w:rPr>
        <w:t>.  El Gobierno del Estado de Jalisco, por conducto de sus tres Poderes, los gobiernos de los municipios y demás entidades públicas patronales incorporadas al Instituto en su calidad de patrones son garantes y obligados solidarios de las obligaciones del Instituto con respecto a sus afiliados y pensionados.</w:t>
      </w:r>
      <w:r w:rsidR="00096282" w:rsidRPr="00027904">
        <w:rPr>
          <w:rFonts w:ascii="Arial" w:hAnsi="Arial" w:cs="Arial"/>
          <w:i/>
          <w:sz w:val="28"/>
          <w:szCs w:val="28"/>
        </w:rPr>
        <w:t xml:space="preserve"> </w:t>
      </w:r>
      <w:r w:rsidRPr="00027904">
        <w:rPr>
          <w:rFonts w:ascii="Arial" w:hAnsi="Arial" w:cs="Arial"/>
          <w:b/>
          <w:i/>
          <w:sz w:val="28"/>
          <w:szCs w:val="28"/>
        </w:rPr>
        <w:t>Artículo 9</w:t>
      </w:r>
      <w:r w:rsidRPr="00027904">
        <w:rPr>
          <w:rFonts w:ascii="Arial" w:hAnsi="Arial" w:cs="Arial"/>
          <w:i/>
          <w:sz w:val="28"/>
          <w:szCs w:val="28"/>
        </w:rPr>
        <w:t>. Las entidades públicas patronales tienen la obligación de realizar las aportaciones y retenciones a que se refiere esta Ley, en el tiempo y forma que en la misma se establecen.</w:t>
      </w:r>
      <w:r w:rsidR="00027904" w:rsidRPr="00027904">
        <w:rPr>
          <w:rFonts w:ascii="Arial" w:hAnsi="Arial" w:cs="Arial"/>
          <w:i/>
          <w:sz w:val="28"/>
          <w:szCs w:val="28"/>
        </w:rPr>
        <w:t xml:space="preserve"> </w:t>
      </w:r>
      <w:r w:rsidRPr="00027904">
        <w:rPr>
          <w:rFonts w:ascii="Arial" w:hAnsi="Arial" w:cs="Arial"/>
          <w:i/>
          <w:sz w:val="28"/>
          <w:szCs w:val="28"/>
        </w:rPr>
        <w:t>Corresponde a las entidades públicas patronales la retención de las aportaciones a su cargo, conforme a lo establecido en esta Ley, pero quedarán sujetas a la revisión y sanción que, en su caso, realice el Instituto.</w:t>
      </w:r>
      <w:r w:rsidR="00096282" w:rsidRPr="00027904">
        <w:rPr>
          <w:rFonts w:ascii="Arial" w:hAnsi="Arial" w:cs="Arial"/>
          <w:i/>
          <w:sz w:val="28"/>
          <w:szCs w:val="28"/>
        </w:rPr>
        <w:t xml:space="preserve"> </w:t>
      </w:r>
      <w:r w:rsidRPr="00027904">
        <w:rPr>
          <w:rFonts w:ascii="Arial" w:hAnsi="Arial" w:cs="Arial"/>
          <w:b/>
          <w:i/>
          <w:sz w:val="28"/>
          <w:szCs w:val="28"/>
        </w:rPr>
        <w:t>Artículo 10</w:t>
      </w:r>
      <w:r w:rsidRPr="00027904">
        <w:rPr>
          <w:rFonts w:ascii="Arial" w:hAnsi="Arial" w:cs="Arial"/>
          <w:i/>
          <w:sz w:val="28"/>
          <w:szCs w:val="28"/>
        </w:rPr>
        <w:t xml:space="preserve">. El entero de las aportaciones y retenciones que </w:t>
      </w:r>
      <w:r w:rsidRPr="00027904">
        <w:rPr>
          <w:rFonts w:ascii="Arial" w:hAnsi="Arial" w:cs="Arial"/>
          <w:i/>
          <w:sz w:val="28"/>
          <w:szCs w:val="28"/>
        </w:rPr>
        <w:lastRenderedPageBreak/>
        <w:t>correspondan a las entidades públicas patronales deberá realizarse en la fecha o dentro del plazo señalado en las disposiciones respectivas de esta Ley. La falta de pago de aportaciones, retenciones, actualizaciones, o recargos dará lugar a la ejecución forzosa mediante retención en aportaciones, participaciones y cualesquiera otros recursos líquidos, que se efectuará a petición del Instituto y se aplicará por la Secretaría de la Hacienda Pública.</w:t>
      </w:r>
      <w:r w:rsidR="00096282" w:rsidRPr="00027904">
        <w:rPr>
          <w:rFonts w:ascii="Arial" w:hAnsi="Arial" w:cs="Arial"/>
          <w:i/>
          <w:sz w:val="28"/>
          <w:szCs w:val="28"/>
        </w:rPr>
        <w:t xml:space="preserve"> </w:t>
      </w:r>
      <w:r w:rsidRPr="00027904">
        <w:rPr>
          <w:rFonts w:ascii="Arial" w:hAnsi="Arial" w:cs="Arial"/>
          <w:b/>
          <w:i/>
          <w:sz w:val="28"/>
          <w:szCs w:val="28"/>
        </w:rPr>
        <w:t>Artículo 17</w:t>
      </w:r>
      <w:r w:rsidRPr="00027904">
        <w:rPr>
          <w:rFonts w:ascii="Arial" w:hAnsi="Arial" w:cs="Arial"/>
          <w:i/>
          <w:sz w:val="28"/>
          <w:szCs w:val="28"/>
        </w:rPr>
        <w:t>. Queda prohibido a las entidades públicas patronales celebrar convenios, contratos y, en general, cualquier acuerdo de voluntades que tenga por objeto evadir el pago de aportaciones u obtener sus beneficios sin cumplir los requisitos establecidos en la misma, mediante la simulación de antigüedad laboral o su reconocimiento indebido, o por cualquier otro artificio análogo.</w:t>
      </w:r>
      <w:r w:rsidR="00027904" w:rsidRPr="00027904">
        <w:rPr>
          <w:rFonts w:ascii="Arial" w:hAnsi="Arial" w:cs="Arial"/>
          <w:i/>
          <w:sz w:val="28"/>
          <w:szCs w:val="28"/>
        </w:rPr>
        <w:t xml:space="preserve"> </w:t>
      </w:r>
      <w:r w:rsidRPr="00027904">
        <w:rPr>
          <w:rFonts w:ascii="Arial" w:hAnsi="Arial" w:cs="Arial"/>
          <w:b/>
          <w:i/>
          <w:sz w:val="28"/>
          <w:szCs w:val="28"/>
        </w:rPr>
        <w:t>Artículo 28</w:t>
      </w:r>
      <w:r w:rsidRPr="00027904">
        <w:rPr>
          <w:rFonts w:ascii="Arial" w:hAnsi="Arial" w:cs="Arial"/>
          <w:i/>
          <w:sz w:val="28"/>
          <w:szCs w:val="28"/>
        </w:rPr>
        <w:t xml:space="preserve">. Son sujetos de afiliación al régimen obligatorio establecido por esta Ley, todos los servidores públicos de los Poderes Legislativo, Ejecutivo y Judicial del Estado, y sus dependencias centralizadas respectivas. </w:t>
      </w:r>
      <w:r w:rsidR="00027904" w:rsidRPr="00027904">
        <w:rPr>
          <w:rFonts w:ascii="Arial" w:hAnsi="Arial" w:cs="Arial"/>
          <w:i/>
          <w:sz w:val="28"/>
          <w:szCs w:val="28"/>
        </w:rPr>
        <w:t xml:space="preserve"> </w:t>
      </w:r>
      <w:r w:rsidRPr="00027904">
        <w:rPr>
          <w:rFonts w:ascii="Arial" w:hAnsi="Arial" w:cs="Arial"/>
          <w:b/>
          <w:i/>
          <w:sz w:val="28"/>
          <w:szCs w:val="28"/>
        </w:rPr>
        <w:t>Artículo 29</w:t>
      </w:r>
      <w:r w:rsidRPr="00027904">
        <w:rPr>
          <w:rFonts w:ascii="Arial" w:hAnsi="Arial" w:cs="Arial"/>
          <w:i/>
          <w:sz w:val="28"/>
          <w:szCs w:val="28"/>
        </w:rPr>
        <w:t>. Podrán ser afiliados bajo el régimen obligatorio de esta Ley:</w:t>
      </w:r>
      <w:r w:rsidR="00027904" w:rsidRPr="00027904">
        <w:rPr>
          <w:rFonts w:ascii="Arial" w:hAnsi="Arial" w:cs="Arial"/>
          <w:i/>
          <w:sz w:val="28"/>
          <w:szCs w:val="28"/>
        </w:rPr>
        <w:t xml:space="preserve"> </w:t>
      </w:r>
      <w:r w:rsidRPr="00027904">
        <w:rPr>
          <w:rFonts w:ascii="Arial" w:hAnsi="Arial" w:cs="Arial"/>
          <w:i/>
          <w:sz w:val="28"/>
          <w:szCs w:val="28"/>
        </w:rPr>
        <w:t>I. Los servidores públicos de los municipios del Estado de Jalisco;</w:t>
      </w:r>
      <w:r w:rsidR="00027904" w:rsidRPr="00027904">
        <w:rPr>
          <w:rFonts w:ascii="Arial" w:hAnsi="Arial" w:cs="Arial"/>
          <w:i/>
          <w:sz w:val="28"/>
          <w:szCs w:val="28"/>
        </w:rPr>
        <w:t xml:space="preserve"> </w:t>
      </w:r>
      <w:r w:rsidRPr="00027904">
        <w:rPr>
          <w:rFonts w:ascii="Arial" w:hAnsi="Arial" w:cs="Arial"/>
          <w:b/>
          <w:i/>
          <w:sz w:val="28"/>
          <w:szCs w:val="28"/>
        </w:rPr>
        <w:t>Artículo 33</w:t>
      </w:r>
      <w:r w:rsidRPr="00027904">
        <w:rPr>
          <w:rFonts w:ascii="Arial" w:hAnsi="Arial" w:cs="Arial"/>
          <w:i/>
          <w:sz w:val="28"/>
          <w:szCs w:val="28"/>
        </w:rPr>
        <w:t>. Quedan excluidos de la aplicación de la presente ley, las personas que presten sus servicios mediante contratos sujetos a la legislación común”.</w:t>
      </w:r>
      <w:r w:rsidR="00027904" w:rsidRPr="00027904">
        <w:rPr>
          <w:rFonts w:ascii="Arial" w:hAnsi="Arial" w:cs="Arial"/>
          <w:i/>
          <w:sz w:val="28"/>
          <w:szCs w:val="28"/>
        </w:rPr>
        <w:t xml:space="preserve"> </w:t>
      </w:r>
      <w:r w:rsidRPr="00027904">
        <w:rPr>
          <w:rFonts w:ascii="Arial" w:hAnsi="Arial" w:cs="Arial"/>
          <w:i/>
          <w:sz w:val="28"/>
          <w:szCs w:val="28"/>
        </w:rPr>
        <w:t xml:space="preserve">En ese tenor, de la transcripción anterior, se desprende que los sujetos de afiliación al régimen obligatorio establecido en la Ley del Instituto de Pensiones del Estado de Jalisco son todos los Servidores Públicos de los Municipios que conforman el Estado de Jalisco, es así, que también dicha disposición abarca a los Funcionarios Públicos, o sea Servidores Públicos de Elección Popular, tal y como lo define el artículo 3 de la Ley Para los Servidores Públicos para </w:t>
      </w:r>
      <w:r w:rsidRPr="00027904">
        <w:rPr>
          <w:rFonts w:ascii="Arial" w:hAnsi="Arial" w:cs="Arial"/>
          <w:i/>
          <w:sz w:val="28"/>
          <w:szCs w:val="28"/>
        </w:rPr>
        <w:lastRenderedPageBreak/>
        <w:t>el Estado de Jalisco, ya que como lo dispone el artículo 1 de la Ley en comento en primer término, son nulos de pleno derecho todos los acuerdos de voluntades entre entidades patronales y los afiliados que contravengan las disposiciones de la misma.</w:t>
      </w:r>
      <w:r w:rsidR="00027904" w:rsidRPr="00027904">
        <w:rPr>
          <w:rFonts w:ascii="Arial" w:hAnsi="Arial" w:cs="Arial"/>
          <w:i/>
          <w:sz w:val="28"/>
          <w:szCs w:val="28"/>
        </w:rPr>
        <w:t xml:space="preserve"> </w:t>
      </w:r>
      <w:r w:rsidRPr="00027904">
        <w:rPr>
          <w:rFonts w:ascii="Arial" w:hAnsi="Arial" w:cs="Arial"/>
          <w:i/>
          <w:sz w:val="28"/>
          <w:szCs w:val="28"/>
        </w:rPr>
        <w:t xml:space="preserve">Por lo que, en incurrir en contravención de lo dispuesto en el último párrafo del artículo 10, que menciona: </w:t>
      </w:r>
      <w:r w:rsidRPr="00027904">
        <w:rPr>
          <w:rFonts w:ascii="Arial" w:hAnsi="Arial" w:cs="Arial"/>
          <w:b/>
          <w:i/>
          <w:sz w:val="28"/>
          <w:szCs w:val="28"/>
        </w:rPr>
        <w:t>Artículo 10</w:t>
      </w:r>
      <w:r w:rsidRPr="00027904">
        <w:rPr>
          <w:rFonts w:ascii="Arial" w:hAnsi="Arial" w:cs="Arial"/>
          <w:i/>
          <w:sz w:val="28"/>
          <w:szCs w:val="28"/>
        </w:rPr>
        <w:t>. El entero de las aportaciones y retenciones que correspondan a las entidades públicas patronales deberá realizarse en la fecha o dentro del plazo señalado en las disposiciones respectivas de esta Ley.</w:t>
      </w:r>
      <w:r w:rsidR="00027904" w:rsidRPr="00027904">
        <w:rPr>
          <w:rFonts w:ascii="Arial" w:hAnsi="Arial" w:cs="Arial"/>
          <w:i/>
          <w:sz w:val="28"/>
          <w:szCs w:val="28"/>
        </w:rPr>
        <w:t xml:space="preserve"> </w:t>
      </w:r>
      <w:r w:rsidRPr="00027904">
        <w:rPr>
          <w:rFonts w:ascii="Arial" w:hAnsi="Arial" w:cs="Arial"/>
          <w:i/>
          <w:sz w:val="28"/>
          <w:szCs w:val="28"/>
        </w:rPr>
        <w:t>La falta de pago de aportaciones, retenciones, actualizaciones, o recargos dará lugar a la ejecución forzosa mediante retención en aportaciones, participaciones y cualesquiera otros recursos líquidos, que se efectuará a petición del Instituto y se aplicará por la Secretaría de la Hacienda Pública.</w:t>
      </w:r>
      <w:r w:rsidR="00027904" w:rsidRPr="00027904">
        <w:rPr>
          <w:rFonts w:ascii="Arial" w:hAnsi="Arial" w:cs="Arial"/>
          <w:i/>
          <w:sz w:val="28"/>
          <w:szCs w:val="28"/>
        </w:rPr>
        <w:t xml:space="preserve"> </w:t>
      </w:r>
      <w:r w:rsidRPr="00027904">
        <w:rPr>
          <w:rFonts w:ascii="Arial" w:hAnsi="Arial" w:cs="Arial"/>
          <w:i/>
          <w:sz w:val="28"/>
          <w:szCs w:val="28"/>
        </w:rPr>
        <w:t>Las omisiones contenidas en dicho apartado, dará lugar a la ejecución forzosa, que puede culminar en la retención de participaciones estatales, tal y como lo disponen los artículos 30 y 31 fracción II de la Ley del Instituto de Pensiones del Estado de Jalisco en concordancia  con el artículo 64 segundo párrafo de la Ley para los Servidores Públicos del Estado de Jalisco y sus Municipios; Independientemente de lo anterior, rigen para las entidades públicas patronales todas las obligaciones contenidas en la Ley, aún y cuando no se hubieren incorporado en los convenios que suscriban,  así lo dispuso el legislador en el “</w:t>
      </w:r>
      <w:r w:rsidRPr="00027904">
        <w:rPr>
          <w:rFonts w:ascii="Arial" w:eastAsia="Calibri" w:hAnsi="Arial" w:cs="Arial"/>
          <w:i/>
          <w:sz w:val="28"/>
          <w:szCs w:val="28"/>
        </w:rPr>
        <w:t xml:space="preserve">DECRETO 28439/LXII/21.- Se reforman los artículos 33, primer párrafo, 70 fracción II, 153 fracción XIX; se adiciona un párrafo sexto al artículo 39 y la fracción XX al 153; y se </w:t>
      </w:r>
      <w:r w:rsidRPr="00027904">
        <w:rPr>
          <w:rFonts w:ascii="Arial" w:eastAsia="Calibri" w:hAnsi="Arial" w:cs="Arial"/>
          <w:i/>
          <w:sz w:val="28"/>
          <w:szCs w:val="28"/>
          <w:lang w:eastAsia="es-MX"/>
        </w:rPr>
        <w:t>reforma el sexto párrafo del artículo Cuarto Transitorio del Decreto 22862/LVIII/09</w:t>
      </w:r>
      <w:r w:rsidRPr="00027904">
        <w:rPr>
          <w:rFonts w:ascii="Arial" w:eastAsia="Calibri" w:hAnsi="Arial" w:cs="Arial"/>
          <w:i/>
          <w:sz w:val="28"/>
          <w:szCs w:val="28"/>
        </w:rPr>
        <w:t>, todos de la Ley del Instituto de Pensiones del Estado de Jalisco.- Septiembre 9 de 2021. Secc. IV”. (sic).</w:t>
      </w:r>
      <w:r w:rsidR="00027904" w:rsidRPr="00027904">
        <w:rPr>
          <w:rFonts w:ascii="Arial" w:eastAsia="Calibri" w:hAnsi="Arial" w:cs="Arial"/>
          <w:i/>
          <w:sz w:val="28"/>
          <w:szCs w:val="28"/>
        </w:rPr>
        <w:t xml:space="preserve"> </w:t>
      </w:r>
      <w:r w:rsidRPr="00027904">
        <w:rPr>
          <w:rFonts w:ascii="Arial" w:eastAsia="Calibri" w:hAnsi="Arial" w:cs="Arial"/>
          <w:i/>
          <w:sz w:val="28"/>
          <w:szCs w:val="28"/>
        </w:rPr>
        <w:t xml:space="preserve">En </w:t>
      </w:r>
      <w:r w:rsidRPr="00027904">
        <w:rPr>
          <w:rFonts w:ascii="Arial" w:eastAsia="Calibri" w:hAnsi="Arial" w:cs="Arial"/>
          <w:i/>
          <w:sz w:val="28"/>
          <w:szCs w:val="28"/>
        </w:rPr>
        <w:lastRenderedPageBreak/>
        <w:t>estricto acatamiento a las disposiciones contenidas en la ley, es que el Coordinador General de Administración e Innovación Gubernamental, solicita a la Encargada de la Hacienda Municipal, se realicen los ajustes presupuestales necesarios en el presupuesto de egresos para el ejercicio fiscal 2022, lo que al efecto realiza, haciendo del conocimiento del suscrito Presidente de la Comisión Edilicia Permanente de Hacienda Pública y Patrimonio Municipal lo anterior, mediante oficio número HPM/193/2</w:t>
      </w:r>
      <w:r w:rsidR="00027904" w:rsidRPr="00027904">
        <w:rPr>
          <w:rFonts w:ascii="Arial" w:eastAsia="Calibri" w:hAnsi="Arial" w:cs="Arial"/>
          <w:i/>
          <w:sz w:val="28"/>
          <w:szCs w:val="28"/>
        </w:rPr>
        <w:t xml:space="preserve">022, mismo que a la letra dice: </w:t>
      </w:r>
      <w:r w:rsidRPr="00027904">
        <w:rPr>
          <w:rFonts w:ascii="Arial" w:eastAsia="Calibri" w:hAnsi="Arial" w:cs="Arial"/>
          <w:i/>
          <w:sz w:val="28"/>
          <w:szCs w:val="28"/>
        </w:rPr>
        <w:t>“</w:t>
      </w:r>
      <w:r w:rsidRPr="00027904">
        <w:rPr>
          <w:rFonts w:ascii="Arial" w:hAnsi="Arial" w:cs="Arial"/>
          <w:i/>
          <w:color w:val="000000"/>
          <w:sz w:val="28"/>
          <w:szCs w:val="28"/>
          <w:lang w:eastAsia="es-MX"/>
        </w:rPr>
        <w:t>le informo los detalles de la transferencia presupuestal de la parida 143 de Aportaciones al Sistema para el retiro. A efecto que sea autorizada por el Ayuntamiento, para cubrir la erogación generada por la incorporación total del personal de Elección Popular a Pensiones del Estado para dar cumplimiento con la</w:t>
      </w:r>
      <w:r w:rsidR="00027904" w:rsidRPr="00027904">
        <w:rPr>
          <w:rFonts w:ascii="Arial" w:hAnsi="Arial" w:cs="Arial"/>
          <w:i/>
          <w:color w:val="000000"/>
          <w:sz w:val="28"/>
          <w:szCs w:val="28"/>
          <w:lang w:eastAsia="es-MX"/>
        </w:rPr>
        <w:t xml:space="preserve"> disposición legal al respecto. </w:t>
      </w:r>
      <w:r w:rsidRPr="00027904">
        <w:rPr>
          <w:rFonts w:ascii="Arial" w:hAnsi="Arial" w:cs="Arial"/>
          <w:i/>
          <w:color w:val="000000"/>
          <w:sz w:val="28"/>
          <w:szCs w:val="28"/>
          <w:lang w:eastAsia="es-MX"/>
        </w:rPr>
        <w:t>Se transferirá la cantidad de $ 855,367.00 del sub-ejercicio de enero a marzo en administración del departamento de programación y presupuestos al departamento de Nomina, quien administra la partida 143 de forma general para la distribución mensual del presupuesto devengado por cada departamento.</w:t>
      </w:r>
      <w:r w:rsidR="00027904" w:rsidRPr="00027904">
        <w:rPr>
          <w:rFonts w:ascii="Arial" w:hAnsi="Arial" w:cs="Arial"/>
          <w:i/>
          <w:sz w:val="28"/>
          <w:szCs w:val="28"/>
        </w:rPr>
        <w:t xml:space="preserve"> </w:t>
      </w:r>
      <w:r w:rsidRPr="00027904">
        <w:rPr>
          <w:rFonts w:ascii="Arial" w:hAnsi="Arial" w:cs="Arial"/>
          <w:i/>
          <w:color w:val="000000"/>
          <w:sz w:val="28"/>
          <w:szCs w:val="28"/>
          <w:lang w:eastAsia="es-MX"/>
        </w:rPr>
        <w:t>Se anexa tabla donde se pueden visualizar los movimientos presupuestales antes mencionados.</w:t>
      </w:r>
      <w:r w:rsidR="00DE6220">
        <w:rPr>
          <w:rFonts w:ascii="Arial" w:hAnsi="Arial" w:cs="Arial"/>
          <w:i/>
          <w:color w:val="000000"/>
          <w:sz w:val="28"/>
          <w:szCs w:val="28"/>
          <w:lang w:eastAsia="es-MX"/>
        </w:rPr>
        <w:t xml:space="preserve"> - - - - - - - - - - - - - - - - - - - </w:t>
      </w:r>
      <w:r w:rsidR="009D00FA">
        <w:rPr>
          <w:rFonts w:ascii="Arial" w:hAnsi="Arial" w:cs="Arial"/>
          <w:i/>
          <w:color w:val="000000"/>
          <w:sz w:val="28"/>
          <w:szCs w:val="28"/>
          <w:lang w:eastAsia="es-MX"/>
        </w:rPr>
        <w:t xml:space="preserve"> </w:t>
      </w:r>
    </w:p>
    <w:p w:rsidR="009D00FA" w:rsidRDefault="009D00FA" w:rsidP="00027904">
      <w:pPr>
        <w:spacing w:line="360" w:lineRule="auto"/>
        <w:jc w:val="both"/>
        <w:rPr>
          <w:rFonts w:ascii="Arial" w:hAnsi="Arial" w:cs="Arial"/>
          <w:i/>
          <w:color w:val="000000"/>
          <w:sz w:val="28"/>
          <w:szCs w:val="28"/>
          <w:lang w:eastAsia="es-MX"/>
        </w:rPr>
      </w:pPr>
    </w:p>
    <w:p w:rsidR="009D00FA" w:rsidRPr="00027904" w:rsidRDefault="009D00FA" w:rsidP="00027904">
      <w:pPr>
        <w:spacing w:line="360" w:lineRule="auto"/>
        <w:jc w:val="both"/>
        <w:rPr>
          <w:rFonts w:ascii="Arial" w:hAnsi="Arial" w:cs="Arial"/>
          <w:i/>
          <w:sz w:val="28"/>
          <w:szCs w:val="28"/>
        </w:rPr>
      </w:pPr>
    </w:p>
    <w:p w:rsidR="0025589A" w:rsidRDefault="0025589A" w:rsidP="0025589A">
      <w:pPr>
        <w:rPr>
          <w:rFonts w:ascii="Arial" w:eastAsiaTheme="minorHAnsi" w:hAnsi="Arial" w:cs="Arial"/>
          <w:lang w:val="es-ES" w:eastAsia="en-US"/>
        </w:rPr>
      </w:pPr>
    </w:p>
    <w:p w:rsidR="00DE6220" w:rsidRDefault="00DE6220" w:rsidP="0025589A">
      <w:pPr>
        <w:rPr>
          <w:rFonts w:ascii="Arial" w:eastAsiaTheme="minorHAnsi" w:hAnsi="Arial" w:cs="Arial"/>
          <w:lang w:val="es-ES" w:eastAsia="en-US"/>
        </w:rPr>
      </w:pPr>
    </w:p>
    <w:p w:rsidR="00DE6220" w:rsidRDefault="00DE6220" w:rsidP="0025589A">
      <w:pPr>
        <w:rPr>
          <w:rFonts w:ascii="Arial" w:eastAsiaTheme="minorHAnsi" w:hAnsi="Arial" w:cs="Arial"/>
          <w:lang w:val="es-ES" w:eastAsia="en-US"/>
        </w:rPr>
      </w:pPr>
    </w:p>
    <w:p w:rsidR="00DE6220" w:rsidRDefault="00DE6220" w:rsidP="0025589A">
      <w:pPr>
        <w:rPr>
          <w:rFonts w:ascii="Arial" w:eastAsiaTheme="minorHAnsi" w:hAnsi="Arial" w:cs="Arial"/>
          <w:lang w:val="es-ES" w:eastAsia="en-US"/>
        </w:rPr>
      </w:pPr>
    </w:p>
    <w:p w:rsidR="00DE6220" w:rsidRDefault="00DE6220" w:rsidP="0025589A">
      <w:pPr>
        <w:rPr>
          <w:rFonts w:ascii="Arial" w:eastAsiaTheme="minorHAnsi" w:hAnsi="Arial" w:cs="Arial"/>
          <w:lang w:val="es-ES" w:eastAsia="en-US"/>
        </w:rPr>
      </w:pPr>
    </w:p>
    <w:p w:rsidR="00DE6220" w:rsidRDefault="00DE6220" w:rsidP="0025589A">
      <w:pPr>
        <w:rPr>
          <w:rFonts w:ascii="Arial" w:eastAsiaTheme="minorHAnsi" w:hAnsi="Arial" w:cs="Arial"/>
          <w:lang w:val="es-ES" w:eastAsia="en-US"/>
        </w:rPr>
      </w:pPr>
    </w:p>
    <w:p w:rsidR="0025589A" w:rsidRDefault="0025589A" w:rsidP="0025589A">
      <w:pPr>
        <w:pStyle w:val="Textosinformato"/>
        <w:jc w:val="both"/>
        <w:rPr>
          <w:rFonts w:ascii="Arial" w:eastAsia="Calibri" w:hAnsi="Arial" w:cs="Arial"/>
        </w:rPr>
      </w:pPr>
    </w:p>
    <w:p w:rsidR="0025589A" w:rsidRDefault="0025589A" w:rsidP="0025589A">
      <w:pPr>
        <w:pStyle w:val="Textosinformato"/>
        <w:jc w:val="both"/>
        <w:rPr>
          <w:rFonts w:ascii="Arial" w:hAnsi="Arial" w:cs="Arial"/>
        </w:rPr>
      </w:pPr>
    </w:p>
    <w:p w:rsidR="0025589A" w:rsidRDefault="0025589A" w:rsidP="0025589A">
      <w:pPr>
        <w:pStyle w:val="Sinespaciado"/>
        <w:ind w:firstLine="708"/>
        <w:jc w:val="both"/>
        <w:rPr>
          <w:rFonts w:ascii="Arial" w:hAnsi="Arial" w:cs="Arial"/>
          <w:bCs/>
          <w:sz w:val="24"/>
          <w:szCs w:val="24"/>
          <w:lang w:val="es-ES"/>
        </w:rPr>
      </w:pPr>
    </w:p>
    <w:p w:rsidR="00DE6220" w:rsidRDefault="00DE6220" w:rsidP="0025589A">
      <w:pPr>
        <w:pStyle w:val="Sinespaciado"/>
        <w:ind w:firstLine="708"/>
        <w:jc w:val="both"/>
        <w:rPr>
          <w:rFonts w:ascii="Arial" w:hAnsi="Arial" w:cs="Arial"/>
          <w:bCs/>
          <w:sz w:val="24"/>
          <w:szCs w:val="24"/>
          <w:lang w:val="es-ES"/>
        </w:rPr>
      </w:pPr>
    </w:p>
    <w:p w:rsidR="00DE6220" w:rsidRDefault="00DE6220" w:rsidP="0025589A">
      <w:pPr>
        <w:pStyle w:val="Sinespaciado"/>
        <w:ind w:firstLine="708"/>
        <w:jc w:val="both"/>
        <w:rPr>
          <w:rFonts w:ascii="Arial" w:hAnsi="Arial" w:cs="Arial"/>
          <w:bCs/>
          <w:sz w:val="24"/>
          <w:szCs w:val="24"/>
          <w:lang w:val="es-ES"/>
        </w:rPr>
      </w:pPr>
    </w:p>
    <w:p w:rsidR="00DE6220" w:rsidRDefault="00DE6220" w:rsidP="0025589A">
      <w:pPr>
        <w:pStyle w:val="Sinespaciado"/>
        <w:ind w:firstLine="708"/>
        <w:jc w:val="both"/>
        <w:rPr>
          <w:rFonts w:ascii="Arial" w:hAnsi="Arial" w:cs="Arial"/>
          <w:bCs/>
          <w:sz w:val="24"/>
          <w:szCs w:val="24"/>
          <w:lang w:val="es-ES"/>
        </w:rPr>
      </w:pPr>
    </w:p>
    <w:p w:rsidR="00DE6220" w:rsidRDefault="00DE6220" w:rsidP="0025589A">
      <w:pPr>
        <w:pStyle w:val="Sinespaciado"/>
        <w:ind w:firstLine="708"/>
        <w:jc w:val="both"/>
        <w:rPr>
          <w:rFonts w:ascii="Arial" w:hAnsi="Arial" w:cs="Arial"/>
          <w:bCs/>
          <w:sz w:val="24"/>
          <w:szCs w:val="24"/>
          <w:lang w:val="es-ES"/>
        </w:rPr>
      </w:pPr>
    </w:p>
    <w:tbl>
      <w:tblPr>
        <w:tblpPr w:leftFromText="141" w:rightFromText="141" w:bottomFromText="160" w:horzAnchor="margin" w:tblpY="411"/>
        <w:tblW w:w="7513" w:type="dxa"/>
        <w:tblLayout w:type="fixed"/>
        <w:tblCellMar>
          <w:left w:w="70" w:type="dxa"/>
          <w:right w:w="70" w:type="dxa"/>
        </w:tblCellMar>
        <w:tblLook w:val="04A0" w:firstRow="1" w:lastRow="0" w:firstColumn="1" w:lastColumn="0" w:noHBand="0" w:noVBand="1"/>
      </w:tblPr>
      <w:tblGrid>
        <w:gridCol w:w="444"/>
        <w:gridCol w:w="448"/>
        <w:gridCol w:w="562"/>
        <w:gridCol w:w="1098"/>
        <w:gridCol w:w="1134"/>
        <w:gridCol w:w="1701"/>
        <w:gridCol w:w="1134"/>
        <w:gridCol w:w="992"/>
      </w:tblGrid>
      <w:tr w:rsidR="009D00FA" w:rsidTr="00970B6F">
        <w:trPr>
          <w:trHeight w:val="255"/>
        </w:trPr>
        <w:tc>
          <w:tcPr>
            <w:tcW w:w="7513" w:type="dxa"/>
            <w:gridSpan w:val="8"/>
            <w:noWrap/>
            <w:vAlign w:val="bottom"/>
            <w:hideMark/>
          </w:tcPr>
          <w:p w:rsidR="009D00FA" w:rsidRDefault="009D00FA" w:rsidP="00970B6F">
            <w:pPr>
              <w:rPr>
                <w:rFonts w:ascii="Arial" w:hAnsi="Arial" w:cs="Arial"/>
                <w:b/>
                <w:i/>
                <w:color w:val="000000"/>
                <w:lang w:eastAsia="es-MX"/>
              </w:rPr>
            </w:pPr>
            <w:r>
              <w:rPr>
                <w:rFonts w:ascii="Arial" w:hAnsi="Arial" w:cs="Arial"/>
                <w:b/>
                <w:i/>
                <w:color w:val="000000"/>
                <w:lang w:eastAsia="es-MX"/>
              </w:rPr>
              <w:lastRenderedPageBreak/>
              <w:t>TRANSFERENCIA PRESUPUESTAL  DE LA PARTIDA 143 DE APORTACIONES AL SISTEMA PARA EL RETIRO.</w:t>
            </w:r>
          </w:p>
        </w:tc>
      </w:tr>
      <w:tr w:rsidR="009D00FA" w:rsidTr="00970B6F">
        <w:trPr>
          <w:trHeight w:val="255"/>
        </w:trPr>
        <w:tc>
          <w:tcPr>
            <w:tcW w:w="444" w:type="dxa"/>
            <w:noWrap/>
            <w:vAlign w:val="bottom"/>
            <w:hideMark/>
          </w:tcPr>
          <w:p w:rsidR="009D00FA" w:rsidRDefault="009D00FA" w:rsidP="00970B6F">
            <w:pPr>
              <w:rPr>
                <w:rFonts w:ascii="Arial" w:hAnsi="Arial" w:cs="Arial"/>
                <w:b/>
                <w:i/>
                <w:color w:val="000000"/>
                <w:lang w:eastAsia="es-MX"/>
              </w:rPr>
            </w:pPr>
          </w:p>
        </w:tc>
        <w:tc>
          <w:tcPr>
            <w:tcW w:w="448" w:type="dxa"/>
            <w:noWrap/>
            <w:vAlign w:val="bottom"/>
            <w:hideMark/>
          </w:tcPr>
          <w:p w:rsidR="009D00FA" w:rsidRDefault="009D00FA" w:rsidP="00970B6F">
            <w:pPr>
              <w:rPr>
                <w:sz w:val="20"/>
                <w:szCs w:val="20"/>
                <w:lang w:eastAsia="es-MX"/>
              </w:rPr>
            </w:pPr>
          </w:p>
        </w:tc>
        <w:tc>
          <w:tcPr>
            <w:tcW w:w="562" w:type="dxa"/>
            <w:noWrap/>
            <w:vAlign w:val="bottom"/>
            <w:hideMark/>
          </w:tcPr>
          <w:p w:rsidR="009D00FA" w:rsidRDefault="009D00FA" w:rsidP="00970B6F">
            <w:pPr>
              <w:rPr>
                <w:sz w:val="20"/>
                <w:szCs w:val="20"/>
                <w:lang w:eastAsia="es-MX"/>
              </w:rPr>
            </w:pPr>
          </w:p>
        </w:tc>
        <w:tc>
          <w:tcPr>
            <w:tcW w:w="1098" w:type="dxa"/>
            <w:noWrap/>
            <w:vAlign w:val="bottom"/>
            <w:hideMark/>
          </w:tcPr>
          <w:p w:rsidR="009D00FA" w:rsidRDefault="009D00FA" w:rsidP="00970B6F">
            <w:pPr>
              <w:rPr>
                <w:sz w:val="20"/>
                <w:szCs w:val="20"/>
                <w:lang w:eastAsia="es-MX"/>
              </w:rPr>
            </w:pPr>
          </w:p>
        </w:tc>
        <w:tc>
          <w:tcPr>
            <w:tcW w:w="1134" w:type="dxa"/>
            <w:noWrap/>
            <w:vAlign w:val="bottom"/>
            <w:hideMark/>
          </w:tcPr>
          <w:p w:rsidR="009D00FA" w:rsidRDefault="009D00FA" w:rsidP="00970B6F">
            <w:pPr>
              <w:rPr>
                <w:sz w:val="20"/>
                <w:szCs w:val="20"/>
                <w:lang w:eastAsia="es-MX"/>
              </w:rPr>
            </w:pPr>
          </w:p>
        </w:tc>
        <w:tc>
          <w:tcPr>
            <w:tcW w:w="1701" w:type="dxa"/>
            <w:noWrap/>
            <w:vAlign w:val="bottom"/>
            <w:hideMark/>
          </w:tcPr>
          <w:p w:rsidR="009D00FA" w:rsidRDefault="009D00FA" w:rsidP="00970B6F">
            <w:pPr>
              <w:rPr>
                <w:sz w:val="20"/>
                <w:szCs w:val="20"/>
                <w:lang w:eastAsia="es-MX"/>
              </w:rPr>
            </w:pPr>
          </w:p>
        </w:tc>
        <w:tc>
          <w:tcPr>
            <w:tcW w:w="1134" w:type="dxa"/>
            <w:noWrap/>
            <w:vAlign w:val="bottom"/>
            <w:hideMark/>
          </w:tcPr>
          <w:p w:rsidR="009D00FA" w:rsidRDefault="009D00FA" w:rsidP="00970B6F">
            <w:pPr>
              <w:rPr>
                <w:sz w:val="20"/>
                <w:szCs w:val="20"/>
                <w:lang w:eastAsia="es-MX"/>
              </w:rPr>
            </w:pPr>
          </w:p>
        </w:tc>
        <w:tc>
          <w:tcPr>
            <w:tcW w:w="992" w:type="dxa"/>
            <w:noWrap/>
            <w:vAlign w:val="bottom"/>
            <w:hideMark/>
          </w:tcPr>
          <w:p w:rsidR="009D00FA" w:rsidRDefault="009D00FA" w:rsidP="00970B6F">
            <w:pPr>
              <w:rPr>
                <w:sz w:val="20"/>
                <w:szCs w:val="20"/>
                <w:lang w:eastAsia="es-MX"/>
              </w:rPr>
            </w:pPr>
          </w:p>
        </w:tc>
      </w:tr>
      <w:tr w:rsidR="009D00FA" w:rsidTr="00970B6F">
        <w:trPr>
          <w:trHeight w:val="255"/>
        </w:trPr>
        <w:tc>
          <w:tcPr>
            <w:tcW w:w="444" w:type="dxa"/>
            <w:noWrap/>
            <w:vAlign w:val="bottom"/>
            <w:hideMark/>
          </w:tcPr>
          <w:p w:rsidR="009D00FA" w:rsidRDefault="009D00FA" w:rsidP="00970B6F">
            <w:pPr>
              <w:rPr>
                <w:sz w:val="20"/>
                <w:szCs w:val="20"/>
                <w:lang w:eastAsia="es-MX"/>
              </w:rPr>
            </w:pPr>
          </w:p>
        </w:tc>
        <w:tc>
          <w:tcPr>
            <w:tcW w:w="448" w:type="dxa"/>
            <w:noWrap/>
            <w:vAlign w:val="bottom"/>
            <w:hideMark/>
          </w:tcPr>
          <w:p w:rsidR="009D00FA" w:rsidRDefault="009D00FA" w:rsidP="00970B6F">
            <w:pPr>
              <w:rPr>
                <w:sz w:val="20"/>
                <w:szCs w:val="20"/>
                <w:lang w:eastAsia="es-MX"/>
              </w:rPr>
            </w:pPr>
          </w:p>
        </w:tc>
        <w:tc>
          <w:tcPr>
            <w:tcW w:w="562" w:type="dxa"/>
            <w:noWrap/>
            <w:vAlign w:val="bottom"/>
            <w:hideMark/>
          </w:tcPr>
          <w:p w:rsidR="009D00FA" w:rsidRDefault="009D00FA" w:rsidP="00970B6F">
            <w:pPr>
              <w:rPr>
                <w:sz w:val="20"/>
                <w:szCs w:val="20"/>
                <w:lang w:eastAsia="es-MX"/>
              </w:rPr>
            </w:pPr>
          </w:p>
        </w:tc>
        <w:tc>
          <w:tcPr>
            <w:tcW w:w="1098" w:type="dxa"/>
            <w:noWrap/>
            <w:vAlign w:val="bottom"/>
            <w:hideMark/>
          </w:tcPr>
          <w:p w:rsidR="009D00FA" w:rsidRDefault="009D00FA" w:rsidP="00970B6F">
            <w:pPr>
              <w:rPr>
                <w:sz w:val="20"/>
                <w:szCs w:val="20"/>
                <w:lang w:eastAsia="es-MX"/>
              </w:rPr>
            </w:pPr>
          </w:p>
        </w:tc>
        <w:tc>
          <w:tcPr>
            <w:tcW w:w="1134" w:type="dxa"/>
            <w:noWrap/>
            <w:vAlign w:val="bottom"/>
            <w:hideMark/>
          </w:tcPr>
          <w:p w:rsidR="009D00FA" w:rsidRDefault="009D00FA" w:rsidP="00970B6F">
            <w:pPr>
              <w:rPr>
                <w:sz w:val="20"/>
                <w:szCs w:val="20"/>
                <w:lang w:eastAsia="es-MX"/>
              </w:rPr>
            </w:pPr>
          </w:p>
        </w:tc>
        <w:tc>
          <w:tcPr>
            <w:tcW w:w="1701" w:type="dxa"/>
            <w:noWrap/>
            <w:vAlign w:val="bottom"/>
            <w:hideMark/>
          </w:tcPr>
          <w:p w:rsidR="009D00FA" w:rsidRDefault="009D00FA" w:rsidP="00970B6F">
            <w:pPr>
              <w:rPr>
                <w:sz w:val="20"/>
                <w:szCs w:val="20"/>
                <w:lang w:eastAsia="es-MX"/>
              </w:rPr>
            </w:pPr>
          </w:p>
        </w:tc>
        <w:tc>
          <w:tcPr>
            <w:tcW w:w="1134" w:type="dxa"/>
            <w:noWrap/>
            <w:vAlign w:val="bottom"/>
            <w:hideMark/>
          </w:tcPr>
          <w:p w:rsidR="009D00FA" w:rsidRDefault="009D00FA" w:rsidP="00970B6F">
            <w:pPr>
              <w:rPr>
                <w:sz w:val="20"/>
                <w:szCs w:val="20"/>
                <w:lang w:eastAsia="es-MX"/>
              </w:rPr>
            </w:pPr>
          </w:p>
        </w:tc>
        <w:tc>
          <w:tcPr>
            <w:tcW w:w="992" w:type="dxa"/>
            <w:noWrap/>
            <w:vAlign w:val="bottom"/>
            <w:hideMark/>
          </w:tcPr>
          <w:p w:rsidR="009D00FA" w:rsidRDefault="009D00FA" w:rsidP="00970B6F">
            <w:pPr>
              <w:rPr>
                <w:sz w:val="20"/>
                <w:szCs w:val="20"/>
                <w:lang w:eastAsia="es-MX"/>
              </w:rPr>
            </w:pPr>
          </w:p>
        </w:tc>
      </w:tr>
      <w:tr w:rsidR="009D00FA" w:rsidTr="00970B6F">
        <w:trPr>
          <w:trHeight w:val="375"/>
        </w:trPr>
        <w:tc>
          <w:tcPr>
            <w:tcW w:w="444" w:type="dxa"/>
            <w:tcBorders>
              <w:top w:val="single" w:sz="4" w:space="0" w:color="auto"/>
              <w:left w:val="single" w:sz="4" w:space="0" w:color="auto"/>
              <w:bottom w:val="nil"/>
              <w:right w:val="single" w:sz="4" w:space="0" w:color="auto"/>
            </w:tcBorders>
            <w:vAlign w:val="bottom"/>
            <w:hideMark/>
          </w:tcPr>
          <w:p w:rsidR="009D00FA" w:rsidRDefault="009D00FA" w:rsidP="00970B6F">
            <w:pPr>
              <w:jc w:val="center"/>
              <w:rPr>
                <w:rFonts w:ascii="Tahoma" w:hAnsi="Tahoma" w:cs="Tahoma"/>
                <w:b/>
                <w:bCs/>
                <w:color w:val="000000"/>
                <w:sz w:val="16"/>
                <w:szCs w:val="16"/>
                <w:lang w:eastAsia="es-MX"/>
              </w:rPr>
            </w:pPr>
            <w:r>
              <w:rPr>
                <w:rFonts w:ascii="Tahoma" w:hAnsi="Tahoma" w:cs="Tahoma"/>
                <w:b/>
                <w:bCs/>
                <w:color w:val="000000"/>
                <w:sz w:val="16"/>
                <w:szCs w:val="16"/>
                <w:lang w:eastAsia="es-MX"/>
              </w:rPr>
              <w:t>Cap</w:t>
            </w:r>
          </w:p>
        </w:tc>
        <w:tc>
          <w:tcPr>
            <w:tcW w:w="448" w:type="dxa"/>
            <w:tcBorders>
              <w:top w:val="single" w:sz="4" w:space="0" w:color="auto"/>
              <w:left w:val="nil"/>
              <w:bottom w:val="nil"/>
              <w:right w:val="single" w:sz="4" w:space="0" w:color="auto"/>
            </w:tcBorders>
            <w:vAlign w:val="bottom"/>
            <w:hideMark/>
          </w:tcPr>
          <w:p w:rsidR="009D00FA" w:rsidRDefault="009D00FA" w:rsidP="00970B6F">
            <w:pPr>
              <w:jc w:val="center"/>
              <w:rPr>
                <w:rFonts w:ascii="Tahoma" w:hAnsi="Tahoma" w:cs="Tahoma"/>
                <w:b/>
                <w:bCs/>
                <w:color w:val="000000"/>
                <w:sz w:val="16"/>
                <w:szCs w:val="16"/>
                <w:lang w:eastAsia="es-MX"/>
              </w:rPr>
            </w:pPr>
            <w:r>
              <w:rPr>
                <w:rFonts w:ascii="Tahoma" w:hAnsi="Tahoma" w:cs="Tahoma"/>
                <w:b/>
                <w:bCs/>
                <w:color w:val="000000"/>
                <w:sz w:val="16"/>
                <w:szCs w:val="16"/>
                <w:lang w:eastAsia="es-MX"/>
              </w:rPr>
              <w:t>Con</w:t>
            </w:r>
          </w:p>
        </w:tc>
        <w:tc>
          <w:tcPr>
            <w:tcW w:w="562" w:type="dxa"/>
            <w:tcBorders>
              <w:top w:val="single" w:sz="4" w:space="0" w:color="auto"/>
              <w:left w:val="nil"/>
              <w:bottom w:val="nil"/>
              <w:right w:val="single" w:sz="4" w:space="0" w:color="auto"/>
            </w:tcBorders>
            <w:vAlign w:val="bottom"/>
            <w:hideMark/>
          </w:tcPr>
          <w:p w:rsidR="009D00FA" w:rsidRDefault="009D00FA" w:rsidP="00970B6F">
            <w:pPr>
              <w:jc w:val="center"/>
              <w:rPr>
                <w:rFonts w:ascii="Tahoma" w:hAnsi="Tahoma" w:cs="Tahoma"/>
                <w:b/>
                <w:bCs/>
                <w:color w:val="000000"/>
                <w:sz w:val="16"/>
                <w:szCs w:val="16"/>
                <w:lang w:eastAsia="es-MX"/>
              </w:rPr>
            </w:pPr>
            <w:r>
              <w:rPr>
                <w:rFonts w:ascii="Tahoma" w:hAnsi="Tahoma" w:cs="Tahoma"/>
                <w:b/>
                <w:bCs/>
                <w:color w:val="000000"/>
                <w:sz w:val="16"/>
                <w:szCs w:val="16"/>
                <w:lang w:eastAsia="es-MX"/>
              </w:rPr>
              <w:t>PGen</w:t>
            </w:r>
          </w:p>
        </w:tc>
        <w:tc>
          <w:tcPr>
            <w:tcW w:w="1098" w:type="dxa"/>
            <w:tcBorders>
              <w:top w:val="single" w:sz="4" w:space="0" w:color="auto"/>
              <w:left w:val="nil"/>
              <w:bottom w:val="nil"/>
              <w:right w:val="single" w:sz="4" w:space="0" w:color="auto"/>
            </w:tcBorders>
            <w:vAlign w:val="bottom"/>
            <w:hideMark/>
          </w:tcPr>
          <w:p w:rsidR="009D00FA" w:rsidRDefault="009D00FA" w:rsidP="00970B6F">
            <w:pPr>
              <w:jc w:val="center"/>
              <w:rPr>
                <w:rFonts w:ascii="Tahoma" w:hAnsi="Tahoma" w:cs="Tahoma"/>
                <w:b/>
                <w:bCs/>
                <w:color w:val="000000"/>
                <w:sz w:val="16"/>
                <w:szCs w:val="16"/>
                <w:lang w:eastAsia="es-MX"/>
              </w:rPr>
            </w:pPr>
            <w:r>
              <w:rPr>
                <w:rFonts w:ascii="Tahoma" w:hAnsi="Tahoma" w:cs="Tahoma"/>
                <w:b/>
                <w:bCs/>
                <w:color w:val="000000"/>
                <w:sz w:val="16"/>
                <w:szCs w:val="16"/>
                <w:lang w:eastAsia="es-MX"/>
              </w:rPr>
              <w:t>Descripción</w:t>
            </w:r>
          </w:p>
        </w:tc>
        <w:tc>
          <w:tcPr>
            <w:tcW w:w="1134" w:type="dxa"/>
            <w:tcBorders>
              <w:top w:val="single" w:sz="4" w:space="0" w:color="auto"/>
              <w:left w:val="nil"/>
              <w:bottom w:val="single" w:sz="4" w:space="0" w:color="auto"/>
              <w:right w:val="single" w:sz="4" w:space="0" w:color="auto"/>
            </w:tcBorders>
            <w:vAlign w:val="bottom"/>
            <w:hideMark/>
          </w:tcPr>
          <w:p w:rsidR="009D00FA" w:rsidRDefault="009D00FA" w:rsidP="00970B6F">
            <w:pPr>
              <w:jc w:val="center"/>
              <w:rPr>
                <w:rFonts w:ascii="Tahoma" w:hAnsi="Tahoma" w:cs="Tahoma"/>
                <w:b/>
                <w:bCs/>
                <w:color w:val="000000"/>
                <w:sz w:val="14"/>
                <w:szCs w:val="14"/>
                <w:lang w:eastAsia="es-MX"/>
              </w:rPr>
            </w:pPr>
            <w:r>
              <w:rPr>
                <w:rFonts w:ascii="Tahoma" w:hAnsi="Tahoma" w:cs="Tahoma"/>
                <w:b/>
                <w:bCs/>
                <w:color w:val="000000"/>
                <w:sz w:val="14"/>
                <w:szCs w:val="14"/>
                <w:lang w:eastAsia="es-MX"/>
              </w:rPr>
              <w:t>Centro de Costo</w:t>
            </w:r>
          </w:p>
        </w:tc>
        <w:tc>
          <w:tcPr>
            <w:tcW w:w="1701" w:type="dxa"/>
            <w:tcBorders>
              <w:top w:val="single" w:sz="4" w:space="0" w:color="auto"/>
              <w:left w:val="nil"/>
              <w:bottom w:val="single" w:sz="4" w:space="0" w:color="auto"/>
              <w:right w:val="single" w:sz="4" w:space="0" w:color="auto"/>
            </w:tcBorders>
            <w:noWrap/>
            <w:vAlign w:val="bottom"/>
            <w:hideMark/>
          </w:tcPr>
          <w:p w:rsidR="009D00FA" w:rsidRDefault="009D00FA" w:rsidP="00970B6F">
            <w:pPr>
              <w:jc w:val="center"/>
              <w:rPr>
                <w:rFonts w:ascii="Arial" w:hAnsi="Arial" w:cs="Arial"/>
                <w:b/>
                <w:bCs/>
                <w:color w:val="000000"/>
                <w:sz w:val="16"/>
                <w:szCs w:val="16"/>
                <w:lang w:eastAsia="es-MX"/>
              </w:rPr>
            </w:pPr>
            <w:r>
              <w:rPr>
                <w:rFonts w:ascii="Arial" w:hAnsi="Arial" w:cs="Arial"/>
                <w:b/>
                <w:bCs/>
                <w:color w:val="000000"/>
                <w:sz w:val="16"/>
                <w:szCs w:val="16"/>
                <w:lang w:eastAsia="es-MX"/>
              </w:rPr>
              <w:t>Dependencia</w:t>
            </w:r>
          </w:p>
        </w:tc>
        <w:tc>
          <w:tcPr>
            <w:tcW w:w="1134" w:type="dxa"/>
            <w:tcBorders>
              <w:top w:val="single" w:sz="4" w:space="0" w:color="auto"/>
              <w:left w:val="nil"/>
              <w:bottom w:val="single" w:sz="4" w:space="0" w:color="auto"/>
              <w:right w:val="single" w:sz="4" w:space="0" w:color="auto"/>
            </w:tcBorders>
            <w:vAlign w:val="bottom"/>
            <w:hideMark/>
          </w:tcPr>
          <w:p w:rsidR="009D00FA" w:rsidRDefault="009D00FA" w:rsidP="00970B6F">
            <w:pPr>
              <w:jc w:val="center"/>
              <w:rPr>
                <w:rFonts w:ascii="Tahoma" w:hAnsi="Tahoma" w:cs="Tahoma"/>
                <w:b/>
                <w:bCs/>
                <w:color w:val="000000"/>
                <w:sz w:val="16"/>
                <w:szCs w:val="16"/>
                <w:lang w:eastAsia="es-MX"/>
              </w:rPr>
            </w:pPr>
            <w:r>
              <w:rPr>
                <w:rFonts w:ascii="Tahoma" w:hAnsi="Tahoma" w:cs="Tahoma"/>
                <w:b/>
                <w:bCs/>
                <w:color w:val="000000"/>
                <w:sz w:val="16"/>
                <w:szCs w:val="16"/>
                <w:lang w:eastAsia="es-MX"/>
              </w:rPr>
              <w:t>Ampliación</w:t>
            </w:r>
          </w:p>
        </w:tc>
        <w:tc>
          <w:tcPr>
            <w:tcW w:w="992" w:type="dxa"/>
            <w:tcBorders>
              <w:top w:val="single" w:sz="4" w:space="0" w:color="auto"/>
              <w:left w:val="nil"/>
              <w:bottom w:val="single" w:sz="4" w:space="0" w:color="auto"/>
              <w:right w:val="single" w:sz="4" w:space="0" w:color="auto"/>
            </w:tcBorders>
            <w:vAlign w:val="bottom"/>
            <w:hideMark/>
          </w:tcPr>
          <w:p w:rsidR="009D00FA" w:rsidRDefault="009D00FA" w:rsidP="00970B6F">
            <w:pPr>
              <w:jc w:val="center"/>
              <w:rPr>
                <w:rFonts w:ascii="Tahoma" w:hAnsi="Tahoma" w:cs="Tahoma"/>
                <w:b/>
                <w:bCs/>
                <w:color w:val="000000"/>
                <w:sz w:val="16"/>
                <w:szCs w:val="16"/>
                <w:lang w:eastAsia="es-MX"/>
              </w:rPr>
            </w:pPr>
            <w:r>
              <w:rPr>
                <w:rFonts w:ascii="Tahoma" w:hAnsi="Tahoma" w:cs="Tahoma"/>
                <w:b/>
                <w:bCs/>
                <w:color w:val="000000"/>
                <w:sz w:val="16"/>
                <w:szCs w:val="16"/>
                <w:lang w:eastAsia="es-MX"/>
              </w:rPr>
              <w:t>Reducción</w:t>
            </w:r>
          </w:p>
        </w:tc>
      </w:tr>
      <w:tr w:rsidR="009D00FA" w:rsidTr="00970B6F">
        <w:trPr>
          <w:trHeight w:val="255"/>
        </w:trPr>
        <w:tc>
          <w:tcPr>
            <w:tcW w:w="444" w:type="dxa"/>
            <w:tcBorders>
              <w:top w:val="single" w:sz="4" w:space="0" w:color="auto"/>
              <w:left w:val="single" w:sz="4" w:space="0" w:color="auto"/>
              <w:bottom w:val="nil"/>
              <w:right w:val="nil"/>
            </w:tcBorders>
            <w:vAlign w:val="bottom"/>
            <w:hideMark/>
          </w:tcPr>
          <w:p w:rsidR="009D00FA" w:rsidRDefault="009D00FA" w:rsidP="00970B6F">
            <w:pPr>
              <w:jc w:val="center"/>
              <w:rPr>
                <w:rFonts w:ascii="Tahoma" w:hAnsi="Tahoma" w:cs="Tahoma"/>
                <w:color w:val="000000"/>
                <w:sz w:val="16"/>
                <w:szCs w:val="16"/>
                <w:lang w:eastAsia="es-MX"/>
              </w:rPr>
            </w:pPr>
            <w:r>
              <w:rPr>
                <w:rFonts w:ascii="Tahoma" w:hAnsi="Tahoma" w:cs="Tahoma"/>
                <w:color w:val="000000"/>
                <w:sz w:val="16"/>
                <w:szCs w:val="16"/>
                <w:lang w:eastAsia="es-MX"/>
              </w:rPr>
              <w:t> </w:t>
            </w:r>
          </w:p>
        </w:tc>
        <w:tc>
          <w:tcPr>
            <w:tcW w:w="448" w:type="dxa"/>
            <w:tcBorders>
              <w:top w:val="single" w:sz="4" w:space="0" w:color="auto"/>
              <w:left w:val="nil"/>
              <w:bottom w:val="nil"/>
              <w:right w:val="nil"/>
            </w:tcBorders>
            <w:vAlign w:val="bottom"/>
            <w:hideMark/>
          </w:tcPr>
          <w:p w:rsidR="009D00FA" w:rsidRDefault="009D00FA" w:rsidP="00970B6F">
            <w:pPr>
              <w:jc w:val="center"/>
              <w:rPr>
                <w:rFonts w:ascii="Tahoma" w:hAnsi="Tahoma" w:cs="Tahoma"/>
                <w:color w:val="000000"/>
                <w:sz w:val="16"/>
                <w:szCs w:val="16"/>
                <w:lang w:eastAsia="es-MX"/>
              </w:rPr>
            </w:pPr>
            <w:r>
              <w:rPr>
                <w:rFonts w:ascii="Tahoma" w:hAnsi="Tahoma" w:cs="Tahoma"/>
                <w:color w:val="000000"/>
                <w:sz w:val="16"/>
                <w:szCs w:val="16"/>
                <w:lang w:eastAsia="es-MX"/>
              </w:rPr>
              <w:t> </w:t>
            </w:r>
          </w:p>
        </w:tc>
        <w:tc>
          <w:tcPr>
            <w:tcW w:w="562" w:type="dxa"/>
            <w:tcBorders>
              <w:top w:val="single" w:sz="4" w:space="0" w:color="auto"/>
              <w:left w:val="nil"/>
              <w:bottom w:val="nil"/>
              <w:right w:val="nil"/>
            </w:tcBorders>
            <w:vAlign w:val="bottom"/>
            <w:hideMark/>
          </w:tcPr>
          <w:p w:rsidR="009D00FA" w:rsidRDefault="009D00FA" w:rsidP="00970B6F">
            <w:pPr>
              <w:jc w:val="center"/>
              <w:rPr>
                <w:rFonts w:ascii="Tahoma" w:hAnsi="Tahoma" w:cs="Tahoma"/>
                <w:color w:val="000000"/>
                <w:sz w:val="16"/>
                <w:szCs w:val="16"/>
                <w:lang w:eastAsia="es-MX"/>
              </w:rPr>
            </w:pPr>
            <w:r>
              <w:rPr>
                <w:rFonts w:ascii="Tahoma" w:hAnsi="Tahoma" w:cs="Tahoma"/>
                <w:color w:val="000000"/>
                <w:sz w:val="16"/>
                <w:szCs w:val="16"/>
                <w:lang w:eastAsia="es-MX"/>
              </w:rPr>
              <w:t> </w:t>
            </w:r>
          </w:p>
        </w:tc>
        <w:tc>
          <w:tcPr>
            <w:tcW w:w="1098" w:type="dxa"/>
            <w:tcBorders>
              <w:top w:val="single" w:sz="4" w:space="0" w:color="auto"/>
              <w:left w:val="nil"/>
              <w:bottom w:val="nil"/>
              <w:right w:val="single" w:sz="4" w:space="0" w:color="auto"/>
            </w:tcBorders>
            <w:noWrap/>
            <w:vAlign w:val="bottom"/>
            <w:hideMark/>
          </w:tcPr>
          <w:p w:rsidR="009D00FA" w:rsidRDefault="009D00FA" w:rsidP="00970B6F">
            <w:pPr>
              <w:rPr>
                <w:rFonts w:ascii="Arial" w:hAnsi="Arial" w:cs="Arial"/>
                <w:color w:val="000000"/>
                <w:sz w:val="20"/>
                <w:szCs w:val="20"/>
                <w:lang w:eastAsia="es-MX"/>
              </w:rPr>
            </w:pPr>
            <w:r>
              <w:rPr>
                <w:rFonts w:ascii="Arial" w:hAnsi="Arial" w:cs="Arial"/>
                <w:color w:val="000000"/>
                <w:sz w:val="20"/>
                <w:szCs w:val="20"/>
                <w:lang w:eastAsia="es-MX"/>
              </w:rPr>
              <w:t> </w:t>
            </w:r>
          </w:p>
        </w:tc>
        <w:tc>
          <w:tcPr>
            <w:tcW w:w="1134" w:type="dxa"/>
            <w:tcBorders>
              <w:top w:val="nil"/>
              <w:left w:val="nil"/>
              <w:bottom w:val="nil"/>
              <w:right w:val="single" w:sz="4" w:space="0" w:color="auto"/>
            </w:tcBorders>
            <w:vAlign w:val="bottom"/>
            <w:hideMark/>
          </w:tcPr>
          <w:p w:rsidR="009D00FA" w:rsidRDefault="009D00FA" w:rsidP="00970B6F">
            <w:pPr>
              <w:rPr>
                <w:rFonts w:ascii="Tahoma" w:hAnsi="Tahoma" w:cs="Tahoma"/>
                <w:b/>
                <w:bCs/>
                <w:color w:val="000000"/>
                <w:sz w:val="16"/>
                <w:szCs w:val="16"/>
                <w:lang w:eastAsia="es-MX"/>
              </w:rPr>
            </w:pPr>
            <w:r>
              <w:rPr>
                <w:rFonts w:ascii="Tahoma" w:hAnsi="Tahoma" w:cs="Tahoma"/>
                <w:b/>
                <w:bCs/>
                <w:color w:val="000000"/>
                <w:sz w:val="16"/>
                <w:szCs w:val="16"/>
                <w:lang w:eastAsia="es-MX"/>
              </w:rPr>
              <w:t> </w:t>
            </w:r>
          </w:p>
        </w:tc>
        <w:tc>
          <w:tcPr>
            <w:tcW w:w="1701" w:type="dxa"/>
            <w:tcBorders>
              <w:top w:val="nil"/>
              <w:left w:val="nil"/>
              <w:bottom w:val="nil"/>
              <w:right w:val="single" w:sz="4" w:space="0" w:color="auto"/>
            </w:tcBorders>
            <w:noWrap/>
            <w:vAlign w:val="bottom"/>
            <w:hideMark/>
          </w:tcPr>
          <w:p w:rsidR="009D00FA" w:rsidRDefault="009D00FA" w:rsidP="00970B6F">
            <w:pPr>
              <w:rPr>
                <w:rFonts w:ascii="Arial" w:hAnsi="Arial" w:cs="Arial"/>
                <w:color w:val="000000"/>
                <w:sz w:val="16"/>
                <w:szCs w:val="16"/>
                <w:lang w:eastAsia="es-MX"/>
              </w:rPr>
            </w:pPr>
            <w:r>
              <w:rPr>
                <w:rFonts w:ascii="Arial" w:hAnsi="Arial" w:cs="Arial"/>
                <w:color w:val="000000"/>
                <w:sz w:val="16"/>
                <w:szCs w:val="16"/>
                <w:lang w:eastAsia="es-MX"/>
              </w:rPr>
              <w:t> </w:t>
            </w:r>
          </w:p>
        </w:tc>
        <w:tc>
          <w:tcPr>
            <w:tcW w:w="1134" w:type="dxa"/>
            <w:tcBorders>
              <w:top w:val="nil"/>
              <w:left w:val="nil"/>
              <w:bottom w:val="nil"/>
              <w:right w:val="single" w:sz="4" w:space="0" w:color="auto"/>
            </w:tcBorders>
            <w:vAlign w:val="bottom"/>
            <w:hideMark/>
          </w:tcPr>
          <w:p w:rsidR="009D00FA" w:rsidRDefault="009D00FA" w:rsidP="00970B6F">
            <w:pPr>
              <w:jc w:val="center"/>
              <w:rPr>
                <w:rFonts w:ascii="Tahoma" w:hAnsi="Tahoma" w:cs="Tahoma"/>
                <w:color w:val="000000"/>
                <w:sz w:val="16"/>
                <w:szCs w:val="16"/>
                <w:lang w:eastAsia="es-MX"/>
              </w:rPr>
            </w:pPr>
            <w:r>
              <w:rPr>
                <w:rFonts w:ascii="Tahoma" w:hAnsi="Tahoma" w:cs="Tahoma"/>
                <w:color w:val="000000"/>
                <w:sz w:val="16"/>
                <w:szCs w:val="16"/>
                <w:lang w:eastAsia="es-MX"/>
              </w:rPr>
              <w:t> </w:t>
            </w:r>
          </w:p>
        </w:tc>
        <w:tc>
          <w:tcPr>
            <w:tcW w:w="992" w:type="dxa"/>
            <w:tcBorders>
              <w:top w:val="nil"/>
              <w:left w:val="nil"/>
              <w:bottom w:val="nil"/>
              <w:right w:val="single" w:sz="4" w:space="0" w:color="auto"/>
            </w:tcBorders>
            <w:vAlign w:val="bottom"/>
            <w:hideMark/>
          </w:tcPr>
          <w:p w:rsidR="009D00FA" w:rsidRDefault="009D00FA" w:rsidP="00970B6F">
            <w:pPr>
              <w:jc w:val="center"/>
              <w:rPr>
                <w:rFonts w:ascii="Tahoma" w:hAnsi="Tahoma" w:cs="Tahoma"/>
                <w:b/>
                <w:bCs/>
                <w:color w:val="000000"/>
                <w:sz w:val="16"/>
                <w:szCs w:val="16"/>
                <w:lang w:eastAsia="es-MX"/>
              </w:rPr>
            </w:pPr>
            <w:r>
              <w:rPr>
                <w:rFonts w:ascii="Tahoma" w:hAnsi="Tahoma" w:cs="Tahoma"/>
                <w:b/>
                <w:bCs/>
                <w:color w:val="000000"/>
                <w:sz w:val="16"/>
                <w:szCs w:val="16"/>
                <w:lang w:eastAsia="es-MX"/>
              </w:rPr>
              <w:t> </w:t>
            </w:r>
          </w:p>
        </w:tc>
      </w:tr>
      <w:tr w:rsidR="009D00FA" w:rsidTr="00970B6F">
        <w:trPr>
          <w:trHeight w:val="375"/>
        </w:trPr>
        <w:tc>
          <w:tcPr>
            <w:tcW w:w="444" w:type="dxa"/>
            <w:tcBorders>
              <w:top w:val="nil"/>
              <w:left w:val="single" w:sz="4" w:space="0" w:color="auto"/>
              <w:bottom w:val="nil"/>
              <w:right w:val="nil"/>
            </w:tcBorders>
            <w:vAlign w:val="bottom"/>
            <w:hideMark/>
          </w:tcPr>
          <w:p w:rsidR="009D00FA" w:rsidRDefault="009D00FA" w:rsidP="00970B6F">
            <w:pPr>
              <w:jc w:val="center"/>
              <w:rPr>
                <w:rFonts w:ascii="Tahoma" w:hAnsi="Tahoma" w:cs="Tahoma"/>
                <w:color w:val="000000"/>
                <w:sz w:val="16"/>
                <w:szCs w:val="16"/>
                <w:lang w:eastAsia="es-MX"/>
              </w:rPr>
            </w:pPr>
            <w:r>
              <w:rPr>
                <w:rFonts w:ascii="Tahoma" w:hAnsi="Tahoma" w:cs="Tahoma"/>
                <w:color w:val="000000"/>
                <w:sz w:val="16"/>
                <w:szCs w:val="16"/>
                <w:lang w:eastAsia="es-MX"/>
              </w:rPr>
              <w:t> </w:t>
            </w:r>
          </w:p>
        </w:tc>
        <w:tc>
          <w:tcPr>
            <w:tcW w:w="448" w:type="dxa"/>
            <w:vAlign w:val="bottom"/>
            <w:hideMark/>
          </w:tcPr>
          <w:p w:rsidR="009D00FA" w:rsidRDefault="009D00FA" w:rsidP="00970B6F">
            <w:pPr>
              <w:rPr>
                <w:rFonts w:ascii="Tahoma" w:hAnsi="Tahoma" w:cs="Tahoma"/>
                <w:color w:val="000000"/>
                <w:sz w:val="16"/>
                <w:szCs w:val="16"/>
                <w:lang w:eastAsia="es-MX"/>
              </w:rPr>
            </w:pPr>
          </w:p>
        </w:tc>
        <w:tc>
          <w:tcPr>
            <w:tcW w:w="562" w:type="dxa"/>
            <w:vAlign w:val="bottom"/>
            <w:hideMark/>
          </w:tcPr>
          <w:p w:rsidR="009D00FA" w:rsidRDefault="009D00FA" w:rsidP="00970B6F">
            <w:pPr>
              <w:rPr>
                <w:sz w:val="20"/>
                <w:szCs w:val="20"/>
                <w:lang w:eastAsia="es-MX"/>
              </w:rPr>
            </w:pPr>
          </w:p>
        </w:tc>
        <w:tc>
          <w:tcPr>
            <w:tcW w:w="1098" w:type="dxa"/>
            <w:tcBorders>
              <w:top w:val="nil"/>
              <w:left w:val="nil"/>
              <w:bottom w:val="nil"/>
              <w:right w:val="single" w:sz="4" w:space="0" w:color="auto"/>
            </w:tcBorders>
            <w:noWrap/>
            <w:vAlign w:val="bottom"/>
            <w:hideMark/>
          </w:tcPr>
          <w:p w:rsidR="009D00FA" w:rsidRDefault="009D00FA" w:rsidP="00970B6F">
            <w:pPr>
              <w:rPr>
                <w:rFonts w:ascii="Arial" w:hAnsi="Arial" w:cs="Arial"/>
                <w:color w:val="000000"/>
                <w:sz w:val="16"/>
                <w:szCs w:val="16"/>
                <w:lang w:eastAsia="es-MX"/>
              </w:rPr>
            </w:pPr>
            <w:r>
              <w:rPr>
                <w:rFonts w:ascii="Arial" w:hAnsi="Arial" w:cs="Arial"/>
                <w:color w:val="000000"/>
                <w:sz w:val="16"/>
                <w:szCs w:val="16"/>
                <w:lang w:eastAsia="es-MX"/>
              </w:rPr>
              <w:t> </w:t>
            </w:r>
          </w:p>
        </w:tc>
        <w:tc>
          <w:tcPr>
            <w:tcW w:w="1134" w:type="dxa"/>
            <w:tcBorders>
              <w:top w:val="nil"/>
              <w:left w:val="nil"/>
              <w:bottom w:val="nil"/>
              <w:right w:val="single" w:sz="4" w:space="0" w:color="auto"/>
            </w:tcBorders>
            <w:noWrap/>
            <w:vAlign w:val="bottom"/>
            <w:hideMark/>
          </w:tcPr>
          <w:p w:rsidR="009D00FA" w:rsidRDefault="009D00FA" w:rsidP="00970B6F">
            <w:pPr>
              <w:jc w:val="center"/>
              <w:rPr>
                <w:rFonts w:ascii="Arial" w:hAnsi="Arial" w:cs="Arial"/>
                <w:color w:val="000000"/>
                <w:sz w:val="16"/>
                <w:szCs w:val="16"/>
                <w:lang w:eastAsia="es-MX"/>
              </w:rPr>
            </w:pPr>
            <w:r>
              <w:rPr>
                <w:rFonts w:ascii="Arial" w:hAnsi="Arial" w:cs="Arial"/>
                <w:color w:val="000000"/>
                <w:sz w:val="16"/>
                <w:szCs w:val="16"/>
                <w:lang w:eastAsia="es-MX"/>
              </w:rPr>
              <w:t>05-03-01</w:t>
            </w:r>
          </w:p>
        </w:tc>
        <w:tc>
          <w:tcPr>
            <w:tcW w:w="1701" w:type="dxa"/>
            <w:tcBorders>
              <w:top w:val="nil"/>
              <w:left w:val="nil"/>
              <w:bottom w:val="nil"/>
              <w:right w:val="single" w:sz="4" w:space="0" w:color="auto"/>
            </w:tcBorders>
            <w:vAlign w:val="bottom"/>
            <w:hideMark/>
          </w:tcPr>
          <w:p w:rsidR="009D00FA" w:rsidRDefault="009D00FA" w:rsidP="00970B6F">
            <w:pPr>
              <w:rPr>
                <w:rFonts w:ascii="Tahoma" w:hAnsi="Tahoma" w:cs="Tahoma"/>
                <w:b/>
                <w:bCs/>
                <w:color w:val="000000"/>
                <w:sz w:val="14"/>
                <w:szCs w:val="14"/>
                <w:lang w:eastAsia="es-MX"/>
              </w:rPr>
            </w:pPr>
            <w:r>
              <w:rPr>
                <w:rFonts w:ascii="Tahoma" w:hAnsi="Tahoma" w:cs="Tahoma"/>
                <w:b/>
                <w:bCs/>
                <w:color w:val="000000"/>
                <w:sz w:val="14"/>
                <w:szCs w:val="14"/>
                <w:lang w:eastAsia="es-MX"/>
              </w:rPr>
              <w:t>PROGRAMACION Y PRESUPUESTO ( sub-ejercicio)</w:t>
            </w:r>
          </w:p>
        </w:tc>
        <w:tc>
          <w:tcPr>
            <w:tcW w:w="1134" w:type="dxa"/>
            <w:tcBorders>
              <w:top w:val="nil"/>
              <w:left w:val="nil"/>
              <w:bottom w:val="nil"/>
              <w:right w:val="single" w:sz="4" w:space="0" w:color="auto"/>
            </w:tcBorders>
            <w:noWrap/>
            <w:vAlign w:val="bottom"/>
            <w:hideMark/>
          </w:tcPr>
          <w:p w:rsidR="009D00FA" w:rsidRDefault="009D00FA" w:rsidP="00970B6F">
            <w:pPr>
              <w:rPr>
                <w:rFonts w:ascii="Arial" w:hAnsi="Arial" w:cs="Arial"/>
                <w:color w:val="000000"/>
                <w:sz w:val="16"/>
                <w:szCs w:val="16"/>
                <w:lang w:eastAsia="es-MX"/>
              </w:rPr>
            </w:pPr>
            <w:r>
              <w:rPr>
                <w:rFonts w:ascii="Arial" w:hAnsi="Arial" w:cs="Arial"/>
                <w:color w:val="000000"/>
                <w:sz w:val="16"/>
                <w:szCs w:val="16"/>
                <w:lang w:eastAsia="es-MX"/>
              </w:rPr>
              <w:t> </w:t>
            </w:r>
          </w:p>
        </w:tc>
        <w:tc>
          <w:tcPr>
            <w:tcW w:w="992" w:type="dxa"/>
            <w:tcBorders>
              <w:top w:val="nil"/>
              <w:left w:val="nil"/>
              <w:bottom w:val="nil"/>
              <w:right w:val="single" w:sz="4" w:space="0" w:color="auto"/>
            </w:tcBorders>
            <w:noWrap/>
            <w:vAlign w:val="bottom"/>
            <w:hideMark/>
          </w:tcPr>
          <w:p w:rsidR="009D00FA" w:rsidRDefault="009D00FA" w:rsidP="00970B6F">
            <w:pPr>
              <w:jc w:val="right"/>
              <w:rPr>
                <w:rFonts w:ascii="Arial" w:hAnsi="Arial" w:cs="Arial"/>
                <w:color w:val="000000"/>
                <w:sz w:val="16"/>
                <w:szCs w:val="16"/>
                <w:lang w:eastAsia="es-MX"/>
              </w:rPr>
            </w:pPr>
            <w:r>
              <w:rPr>
                <w:rFonts w:ascii="Arial" w:hAnsi="Arial" w:cs="Arial"/>
                <w:color w:val="000000"/>
                <w:sz w:val="16"/>
                <w:szCs w:val="16"/>
                <w:lang w:eastAsia="es-MX"/>
              </w:rPr>
              <w:t>855,366.54</w:t>
            </w:r>
          </w:p>
        </w:tc>
      </w:tr>
      <w:tr w:rsidR="009D00FA" w:rsidTr="00970B6F">
        <w:trPr>
          <w:trHeight w:val="555"/>
        </w:trPr>
        <w:tc>
          <w:tcPr>
            <w:tcW w:w="444" w:type="dxa"/>
            <w:tcBorders>
              <w:top w:val="nil"/>
              <w:left w:val="single" w:sz="4" w:space="0" w:color="auto"/>
              <w:bottom w:val="nil"/>
              <w:right w:val="nil"/>
            </w:tcBorders>
            <w:vAlign w:val="bottom"/>
            <w:hideMark/>
          </w:tcPr>
          <w:p w:rsidR="009D00FA" w:rsidRDefault="009D00FA" w:rsidP="00970B6F">
            <w:pPr>
              <w:jc w:val="center"/>
              <w:rPr>
                <w:rFonts w:ascii="Tahoma" w:hAnsi="Tahoma" w:cs="Tahoma"/>
                <w:color w:val="000000"/>
                <w:sz w:val="16"/>
                <w:szCs w:val="16"/>
                <w:lang w:eastAsia="es-MX"/>
              </w:rPr>
            </w:pPr>
            <w:r>
              <w:rPr>
                <w:rFonts w:ascii="Tahoma" w:hAnsi="Tahoma" w:cs="Tahoma"/>
                <w:color w:val="000000"/>
                <w:sz w:val="16"/>
                <w:szCs w:val="16"/>
                <w:lang w:eastAsia="es-MX"/>
              </w:rPr>
              <w:t>01</w:t>
            </w:r>
          </w:p>
        </w:tc>
        <w:tc>
          <w:tcPr>
            <w:tcW w:w="448" w:type="dxa"/>
            <w:vAlign w:val="bottom"/>
            <w:hideMark/>
          </w:tcPr>
          <w:p w:rsidR="009D00FA" w:rsidRDefault="009D00FA" w:rsidP="00970B6F">
            <w:pPr>
              <w:jc w:val="center"/>
              <w:rPr>
                <w:rFonts w:ascii="Tahoma" w:hAnsi="Tahoma" w:cs="Tahoma"/>
                <w:color w:val="000000"/>
                <w:sz w:val="16"/>
                <w:szCs w:val="16"/>
                <w:lang w:eastAsia="es-MX"/>
              </w:rPr>
            </w:pPr>
            <w:r>
              <w:rPr>
                <w:rFonts w:ascii="Tahoma" w:hAnsi="Tahoma" w:cs="Tahoma"/>
                <w:color w:val="000000"/>
                <w:sz w:val="16"/>
                <w:szCs w:val="16"/>
                <w:lang w:eastAsia="es-MX"/>
              </w:rPr>
              <w:t>04</w:t>
            </w:r>
          </w:p>
        </w:tc>
        <w:tc>
          <w:tcPr>
            <w:tcW w:w="562" w:type="dxa"/>
            <w:vAlign w:val="bottom"/>
            <w:hideMark/>
          </w:tcPr>
          <w:p w:rsidR="009D00FA" w:rsidRDefault="009D00FA" w:rsidP="00970B6F">
            <w:pPr>
              <w:jc w:val="center"/>
              <w:rPr>
                <w:rFonts w:ascii="Tahoma" w:hAnsi="Tahoma" w:cs="Tahoma"/>
                <w:color w:val="000000"/>
                <w:sz w:val="16"/>
                <w:szCs w:val="16"/>
                <w:lang w:eastAsia="es-MX"/>
              </w:rPr>
            </w:pPr>
            <w:r>
              <w:rPr>
                <w:rFonts w:ascii="Tahoma" w:hAnsi="Tahoma" w:cs="Tahoma"/>
                <w:color w:val="000000"/>
                <w:sz w:val="16"/>
                <w:szCs w:val="16"/>
                <w:lang w:eastAsia="es-MX"/>
              </w:rPr>
              <w:t>03</w:t>
            </w:r>
          </w:p>
        </w:tc>
        <w:tc>
          <w:tcPr>
            <w:tcW w:w="1098" w:type="dxa"/>
            <w:tcBorders>
              <w:top w:val="nil"/>
              <w:left w:val="nil"/>
              <w:bottom w:val="nil"/>
              <w:right w:val="single" w:sz="4" w:space="0" w:color="auto"/>
            </w:tcBorders>
            <w:vAlign w:val="bottom"/>
            <w:hideMark/>
          </w:tcPr>
          <w:p w:rsidR="009D00FA" w:rsidRDefault="009D00FA" w:rsidP="00970B6F">
            <w:pPr>
              <w:rPr>
                <w:rFonts w:ascii="Tahoma" w:hAnsi="Tahoma" w:cs="Tahoma"/>
                <w:b/>
                <w:bCs/>
                <w:color w:val="000000"/>
                <w:sz w:val="14"/>
                <w:szCs w:val="14"/>
                <w:lang w:eastAsia="es-MX"/>
              </w:rPr>
            </w:pPr>
            <w:r>
              <w:rPr>
                <w:rFonts w:ascii="Tahoma" w:hAnsi="Tahoma" w:cs="Tahoma"/>
                <w:b/>
                <w:bCs/>
                <w:color w:val="000000"/>
                <w:sz w:val="14"/>
                <w:szCs w:val="14"/>
                <w:lang w:eastAsia="es-MX"/>
              </w:rPr>
              <w:t>APORTACIONES AL SISTEMA PARA EL RETIRO</w:t>
            </w:r>
          </w:p>
        </w:tc>
        <w:tc>
          <w:tcPr>
            <w:tcW w:w="1134" w:type="dxa"/>
            <w:tcBorders>
              <w:top w:val="nil"/>
              <w:left w:val="nil"/>
              <w:bottom w:val="nil"/>
              <w:right w:val="single" w:sz="4" w:space="0" w:color="auto"/>
            </w:tcBorders>
            <w:noWrap/>
            <w:vAlign w:val="bottom"/>
            <w:hideMark/>
          </w:tcPr>
          <w:p w:rsidR="009D00FA" w:rsidRDefault="009D00FA" w:rsidP="00970B6F">
            <w:pPr>
              <w:jc w:val="center"/>
              <w:rPr>
                <w:rFonts w:ascii="Arial" w:hAnsi="Arial" w:cs="Arial"/>
                <w:color w:val="000000"/>
                <w:sz w:val="16"/>
                <w:szCs w:val="16"/>
                <w:lang w:eastAsia="es-MX"/>
              </w:rPr>
            </w:pPr>
            <w:r>
              <w:rPr>
                <w:rFonts w:ascii="Arial" w:hAnsi="Arial" w:cs="Arial"/>
                <w:color w:val="000000"/>
                <w:sz w:val="16"/>
                <w:szCs w:val="16"/>
                <w:lang w:eastAsia="es-MX"/>
              </w:rPr>
              <w:t> </w:t>
            </w:r>
          </w:p>
        </w:tc>
        <w:tc>
          <w:tcPr>
            <w:tcW w:w="1701" w:type="dxa"/>
            <w:tcBorders>
              <w:top w:val="nil"/>
              <w:left w:val="nil"/>
              <w:bottom w:val="nil"/>
              <w:right w:val="single" w:sz="4" w:space="0" w:color="auto"/>
            </w:tcBorders>
            <w:noWrap/>
            <w:vAlign w:val="bottom"/>
            <w:hideMark/>
          </w:tcPr>
          <w:p w:rsidR="009D00FA" w:rsidRDefault="009D00FA" w:rsidP="00970B6F">
            <w:pPr>
              <w:rPr>
                <w:rFonts w:ascii="Arial" w:hAnsi="Arial" w:cs="Arial"/>
                <w:color w:val="000000"/>
                <w:sz w:val="14"/>
                <w:szCs w:val="14"/>
                <w:lang w:eastAsia="es-MX"/>
              </w:rPr>
            </w:pPr>
            <w:r>
              <w:rPr>
                <w:rFonts w:ascii="Arial" w:hAnsi="Arial" w:cs="Arial"/>
                <w:color w:val="000000"/>
                <w:sz w:val="14"/>
                <w:szCs w:val="14"/>
                <w:lang w:eastAsia="es-MX"/>
              </w:rPr>
              <w:t> </w:t>
            </w:r>
          </w:p>
        </w:tc>
        <w:tc>
          <w:tcPr>
            <w:tcW w:w="1134" w:type="dxa"/>
            <w:tcBorders>
              <w:top w:val="nil"/>
              <w:left w:val="nil"/>
              <w:bottom w:val="nil"/>
              <w:right w:val="single" w:sz="4" w:space="0" w:color="auto"/>
            </w:tcBorders>
            <w:noWrap/>
            <w:vAlign w:val="bottom"/>
            <w:hideMark/>
          </w:tcPr>
          <w:p w:rsidR="009D00FA" w:rsidRDefault="009D00FA" w:rsidP="00970B6F">
            <w:pPr>
              <w:rPr>
                <w:rFonts w:ascii="Arial" w:hAnsi="Arial" w:cs="Arial"/>
                <w:color w:val="000000"/>
                <w:sz w:val="16"/>
                <w:szCs w:val="16"/>
                <w:lang w:eastAsia="es-MX"/>
              </w:rPr>
            </w:pPr>
            <w:r>
              <w:rPr>
                <w:rFonts w:ascii="Arial" w:hAnsi="Arial" w:cs="Arial"/>
                <w:color w:val="000000"/>
                <w:sz w:val="16"/>
                <w:szCs w:val="16"/>
                <w:lang w:eastAsia="es-MX"/>
              </w:rPr>
              <w:t> </w:t>
            </w:r>
          </w:p>
        </w:tc>
        <w:tc>
          <w:tcPr>
            <w:tcW w:w="992" w:type="dxa"/>
            <w:tcBorders>
              <w:top w:val="nil"/>
              <w:left w:val="nil"/>
              <w:bottom w:val="nil"/>
              <w:right w:val="single" w:sz="4" w:space="0" w:color="auto"/>
            </w:tcBorders>
            <w:noWrap/>
            <w:vAlign w:val="bottom"/>
            <w:hideMark/>
          </w:tcPr>
          <w:p w:rsidR="009D00FA" w:rsidRDefault="009D00FA" w:rsidP="00970B6F">
            <w:pPr>
              <w:rPr>
                <w:rFonts w:ascii="Arial" w:hAnsi="Arial" w:cs="Arial"/>
                <w:color w:val="000000"/>
                <w:sz w:val="16"/>
                <w:szCs w:val="16"/>
                <w:lang w:eastAsia="es-MX"/>
              </w:rPr>
            </w:pPr>
            <w:r>
              <w:rPr>
                <w:rFonts w:ascii="Arial" w:hAnsi="Arial" w:cs="Arial"/>
                <w:color w:val="000000"/>
                <w:sz w:val="16"/>
                <w:szCs w:val="16"/>
                <w:lang w:eastAsia="es-MX"/>
              </w:rPr>
              <w:t> </w:t>
            </w:r>
          </w:p>
        </w:tc>
      </w:tr>
      <w:tr w:rsidR="009D00FA" w:rsidTr="00970B6F">
        <w:trPr>
          <w:trHeight w:val="255"/>
        </w:trPr>
        <w:tc>
          <w:tcPr>
            <w:tcW w:w="444" w:type="dxa"/>
            <w:tcBorders>
              <w:top w:val="nil"/>
              <w:left w:val="single" w:sz="4" w:space="0" w:color="auto"/>
              <w:bottom w:val="nil"/>
              <w:right w:val="nil"/>
            </w:tcBorders>
            <w:noWrap/>
            <w:vAlign w:val="bottom"/>
            <w:hideMark/>
          </w:tcPr>
          <w:p w:rsidR="009D00FA" w:rsidRDefault="009D00FA" w:rsidP="00970B6F">
            <w:pPr>
              <w:rPr>
                <w:rFonts w:ascii="Arial" w:hAnsi="Arial" w:cs="Arial"/>
                <w:color w:val="000000"/>
                <w:sz w:val="16"/>
                <w:szCs w:val="16"/>
                <w:lang w:eastAsia="es-MX"/>
              </w:rPr>
            </w:pPr>
            <w:r>
              <w:rPr>
                <w:rFonts w:ascii="Arial" w:hAnsi="Arial" w:cs="Arial"/>
                <w:color w:val="000000"/>
                <w:sz w:val="16"/>
                <w:szCs w:val="16"/>
                <w:lang w:eastAsia="es-MX"/>
              </w:rPr>
              <w:t> </w:t>
            </w:r>
          </w:p>
        </w:tc>
        <w:tc>
          <w:tcPr>
            <w:tcW w:w="448" w:type="dxa"/>
            <w:noWrap/>
            <w:vAlign w:val="bottom"/>
            <w:hideMark/>
          </w:tcPr>
          <w:p w:rsidR="009D00FA" w:rsidRDefault="009D00FA" w:rsidP="00970B6F">
            <w:pPr>
              <w:rPr>
                <w:rFonts w:ascii="Arial" w:hAnsi="Arial" w:cs="Arial"/>
                <w:color w:val="000000"/>
                <w:sz w:val="16"/>
                <w:szCs w:val="16"/>
                <w:lang w:eastAsia="es-MX"/>
              </w:rPr>
            </w:pPr>
          </w:p>
        </w:tc>
        <w:tc>
          <w:tcPr>
            <w:tcW w:w="562" w:type="dxa"/>
            <w:noWrap/>
            <w:vAlign w:val="bottom"/>
            <w:hideMark/>
          </w:tcPr>
          <w:p w:rsidR="009D00FA" w:rsidRDefault="009D00FA" w:rsidP="00970B6F">
            <w:pPr>
              <w:rPr>
                <w:sz w:val="20"/>
                <w:szCs w:val="20"/>
                <w:lang w:eastAsia="es-MX"/>
              </w:rPr>
            </w:pPr>
          </w:p>
        </w:tc>
        <w:tc>
          <w:tcPr>
            <w:tcW w:w="1098" w:type="dxa"/>
            <w:tcBorders>
              <w:top w:val="nil"/>
              <w:left w:val="nil"/>
              <w:bottom w:val="nil"/>
              <w:right w:val="single" w:sz="4" w:space="0" w:color="auto"/>
            </w:tcBorders>
            <w:noWrap/>
            <w:vAlign w:val="bottom"/>
            <w:hideMark/>
          </w:tcPr>
          <w:p w:rsidR="009D00FA" w:rsidRDefault="009D00FA" w:rsidP="00970B6F">
            <w:pPr>
              <w:rPr>
                <w:rFonts w:ascii="Arial" w:hAnsi="Arial" w:cs="Arial"/>
                <w:color w:val="000000"/>
                <w:sz w:val="16"/>
                <w:szCs w:val="16"/>
                <w:lang w:eastAsia="es-MX"/>
              </w:rPr>
            </w:pPr>
            <w:r>
              <w:rPr>
                <w:rFonts w:ascii="Arial" w:hAnsi="Arial" w:cs="Arial"/>
                <w:color w:val="000000"/>
                <w:sz w:val="16"/>
                <w:szCs w:val="16"/>
                <w:lang w:eastAsia="es-MX"/>
              </w:rPr>
              <w:t> </w:t>
            </w:r>
          </w:p>
        </w:tc>
        <w:tc>
          <w:tcPr>
            <w:tcW w:w="1134" w:type="dxa"/>
            <w:tcBorders>
              <w:top w:val="nil"/>
              <w:left w:val="nil"/>
              <w:bottom w:val="nil"/>
              <w:right w:val="single" w:sz="4" w:space="0" w:color="auto"/>
            </w:tcBorders>
            <w:noWrap/>
            <w:vAlign w:val="bottom"/>
            <w:hideMark/>
          </w:tcPr>
          <w:p w:rsidR="009D00FA" w:rsidRDefault="009D00FA" w:rsidP="00970B6F">
            <w:pPr>
              <w:jc w:val="center"/>
              <w:rPr>
                <w:rFonts w:ascii="Arial" w:hAnsi="Arial" w:cs="Arial"/>
                <w:color w:val="000000"/>
                <w:sz w:val="16"/>
                <w:szCs w:val="16"/>
                <w:lang w:eastAsia="es-MX"/>
              </w:rPr>
            </w:pPr>
            <w:r>
              <w:rPr>
                <w:rFonts w:ascii="Arial" w:hAnsi="Arial" w:cs="Arial"/>
                <w:color w:val="000000"/>
                <w:sz w:val="16"/>
                <w:szCs w:val="16"/>
                <w:lang w:eastAsia="es-MX"/>
              </w:rPr>
              <w:t> </w:t>
            </w:r>
          </w:p>
        </w:tc>
        <w:tc>
          <w:tcPr>
            <w:tcW w:w="1701" w:type="dxa"/>
            <w:tcBorders>
              <w:top w:val="nil"/>
              <w:left w:val="nil"/>
              <w:bottom w:val="nil"/>
              <w:right w:val="single" w:sz="4" w:space="0" w:color="auto"/>
            </w:tcBorders>
            <w:noWrap/>
            <w:vAlign w:val="bottom"/>
            <w:hideMark/>
          </w:tcPr>
          <w:p w:rsidR="009D00FA" w:rsidRDefault="009D00FA" w:rsidP="00970B6F">
            <w:pPr>
              <w:rPr>
                <w:rFonts w:ascii="Arial" w:hAnsi="Arial" w:cs="Arial"/>
                <w:color w:val="000000"/>
                <w:sz w:val="14"/>
                <w:szCs w:val="14"/>
                <w:lang w:eastAsia="es-MX"/>
              </w:rPr>
            </w:pPr>
            <w:r>
              <w:rPr>
                <w:rFonts w:ascii="Arial" w:hAnsi="Arial" w:cs="Arial"/>
                <w:color w:val="000000"/>
                <w:sz w:val="14"/>
                <w:szCs w:val="14"/>
                <w:lang w:eastAsia="es-MX"/>
              </w:rPr>
              <w:t> </w:t>
            </w:r>
          </w:p>
        </w:tc>
        <w:tc>
          <w:tcPr>
            <w:tcW w:w="1134" w:type="dxa"/>
            <w:tcBorders>
              <w:top w:val="nil"/>
              <w:left w:val="nil"/>
              <w:bottom w:val="nil"/>
              <w:right w:val="single" w:sz="4" w:space="0" w:color="auto"/>
            </w:tcBorders>
            <w:noWrap/>
            <w:vAlign w:val="bottom"/>
            <w:hideMark/>
          </w:tcPr>
          <w:p w:rsidR="009D00FA" w:rsidRDefault="009D00FA" w:rsidP="00970B6F">
            <w:pPr>
              <w:rPr>
                <w:rFonts w:ascii="Arial" w:hAnsi="Arial" w:cs="Arial"/>
                <w:color w:val="000000"/>
                <w:sz w:val="16"/>
                <w:szCs w:val="16"/>
                <w:lang w:eastAsia="es-MX"/>
              </w:rPr>
            </w:pPr>
            <w:r>
              <w:rPr>
                <w:rFonts w:ascii="Arial" w:hAnsi="Arial" w:cs="Arial"/>
                <w:color w:val="000000"/>
                <w:sz w:val="16"/>
                <w:szCs w:val="16"/>
                <w:lang w:eastAsia="es-MX"/>
              </w:rPr>
              <w:t> </w:t>
            </w:r>
          </w:p>
        </w:tc>
        <w:tc>
          <w:tcPr>
            <w:tcW w:w="992" w:type="dxa"/>
            <w:tcBorders>
              <w:top w:val="nil"/>
              <w:left w:val="nil"/>
              <w:bottom w:val="nil"/>
              <w:right w:val="single" w:sz="4" w:space="0" w:color="auto"/>
            </w:tcBorders>
            <w:noWrap/>
            <w:vAlign w:val="bottom"/>
            <w:hideMark/>
          </w:tcPr>
          <w:p w:rsidR="009D00FA" w:rsidRDefault="009D00FA" w:rsidP="00970B6F">
            <w:pPr>
              <w:rPr>
                <w:rFonts w:ascii="Arial" w:hAnsi="Arial" w:cs="Arial"/>
                <w:color w:val="000000"/>
                <w:sz w:val="16"/>
                <w:szCs w:val="16"/>
                <w:lang w:eastAsia="es-MX"/>
              </w:rPr>
            </w:pPr>
            <w:r>
              <w:rPr>
                <w:rFonts w:ascii="Arial" w:hAnsi="Arial" w:cs="Arial"/>
                <w:color w:val="000000"/>
                <w:sz w:val="16"/>
                <w:szCs w:val="16"/>
                <w:lang w:eastAsia="es-MX"/>
              </w:rPr>
              <w:t> </w:t>
            </w:r>
          </w:p>
        </w:tc>
      </w:tr>
      <w:tr w:rsidR="009D00FA" w:rsidTr="00970B6F">
        <w:trPr>
          <w:trHeight w:val="255"/>
        </w:trPr>
        <w:tc>
          <w:tcPr>
            <w:tcW w:w="444" w:type="dxa"/>
            <w:tcBorders>
              <w:top w:val="nil"/>
              <w:left w:val="single" w:sz="4" w:space="0" w:color="auto"/>
              <w:bottom w:val="nil"/>
              <w:right w:val="nil"/>
            </w:tcBorders>
            <w:noWrap/>
            <w:vAlign w:val="bottom"/>
            <w:hideMark/>
          </w:tcPr>
          <w:p w:rsidR="009D00FA" w:rsidRDefault="009D00FA" w:rsidP="00970B6F">
            <w:pPr>
              <w:rPr>
                <w:rFonts w:ascii="Arial" w:hAnsi="Arial" w:cs="Arial"/>
                <w:color w:val="000000"/>
                <w:sz w:val="16"/>
                <w:szCs w:val="16"/>
                <w:lang w:eastAsia="es-MX"/>
              </w:rPr>
            </w:pPr>
            <w:r>
              <w:rPr>
                <w:rFonts w:ascii="Arial" w:hAnsi="Arial" w:cs="Arial"/>
                <w:color w:val="000000"/>
                <w:sz w:val="16"/>
                <w:szCs w:val="16"/>
                <w:lang w:eastAsia="es-MX"/>
              </w:rPr>
              <w:t> </w:t>
            </w:r>
          </w:p>
        </w:tc>
        <w:tc>
          <w:tcPr>
            <w:tcW w:w="448" w:type="dxa"/>
            <w:noWrap/>
            <w:vAlign w:val="bottom"/>
            <w:hideMark/>
          </w:tcPr>
          <w:p w:rsidR="009D00FA" w:rsidRDefault="009D00FA" w:rsidP="00970B6F">
            <w:pPr>
              <w:rPr>
                <w:rFonts w:ascii="Arial" w:hAnsi="Arial" w:cs="Arial"/>
                <w:color w:val="000000"/>
                <w:sz w:val="16"/>
                <w:szCs w:val="16"/>
                <w:lang w:eastAsia="es-MX"/>
              </w:rPr>
            </w:pPr>
          </w:p>
        </w:tc>
        <w:tc>
          <w:tcPr>
            <w:tcW w:w="562" w:type="dxa"/>
            <w:noWrap/>
            <w:vAlign w:val="bottom"/>
            <w:hideMark/>
          </w:tcPr>
          <w:p w:rsidR="009D00FA" w:rsidRDefault="009D00FA" w:rsidP="00970B6F">
            <w:pPr>
              <w:rPr>
                <w:sz w:val="20"/>
                <w:szCs w:val="20"/>
                <w:lang w:eastAsia="es-MX"/>
              </w:rPr>
            </w:pPr>
          </w:p>
        </w:tc>
        <w:tc>
          <w:tcPr>
            <w:tcW w:w="1098" w:type="dxa"/>
            <w:tcBorders>
              <w:top w:val="nil"/>
              <w:left w:val="nil"/>
              <w:bottom w:val="nil"/>
              <w:right w:val="single" w:sz="4" w:space="0" w:color="auto"/>
            </w:tcBorders>
            <w:noWrap/>
            <w:vAlign w:val="bottom"/>
            <w:hideMark/>
          </w:tcPr>
          <w:p w:rsidR="009D00FA" w:rsidRDefault="009D00FA" w:rsidP="00970B6F">
            <w:pPr>
              <w:rPr>
                <w:rFonts w:ascii="Arial" w:hAnsi="Arial" w:cs="Arial"/>
                <w:color w:val="000000"/>
                <w:sz w:val="16"/>
                <w:szCs w:val="16"/>
                <w:lang w:eastAsia="es-MX"/>
              </w:rPr>
            </w:pPr>
            <w:r>
              <w:rPr>
                <w:rFonts w:ascii="Arial" w:hAnsi="Arial" w:cs="Arial"/>
                <w:color w:val="000000"/>
                <w:sz w:val="16"/>
                <w:szCs w:val="16"/>
                <w:lang w:eastAsia="es-MX"/>
              </w:rPr>
              <w:t> </w:t>
            </w:r>
          </w:p>
        </w:tc>
        <w:tc>
          <w:tcPr>
            <w:tcW w:w="1134" w:type="dxa"/>
            <w:tcBorders>
              <w:top w:val="nil"/>
              <w:left w:val="nil"/>
              <w:bottom w:val="nil"/>
              <w:right w:val="single" w:sz="4" w:space="0" w:color="auto"/>
            </w:tcBorders>
            <w:noWrap/>
            <w:vAlign w:val="bottom"/>
            <w:hideMark/>
          </w:tcPr>
          <w:p w:rsidR="009D00FA" w:rsidRDefault="009D00FA" w:rsidP="00970B6F">
            <w:pPr>
              <w:jc w:val="center"/>
              <w:rPr>
                <w:rFonts w:ascii="Arial" w:hAnsi="Arial" w:cs="Arial"/>
                <w:color w:val="000000"/>
                <w:sz w:val="16"/>
                <w:szCs w:val="16"/>
                <w:lang w:eastAsia="es-MX"/>
              </w:rPr>
            </w:pPr>
            <w:r>
              <w:rPr>
                <w:rFonts w:ascii="Arial" w:hAnsi="Arial" w:cs="Arial"/>
                <w:color w:val="000000"/>
                <w:sz w:val="16"/>
                <w:szCs w:val="16"/>
                <w:lang w:eastAsia="es-MX"/>
              </w:rPr>
              <w:t>08-01-05</w:t>
            </w:r>
          </w:p>
        </w:tc>
        <w:tc>
          <w:tcPr>
            <w:tcW w:w="1701" w:type="dxa"/>
            <w:tcBorders>
              <w:top w:val="nil"/>
              <w:left w:val="nil"/>
              <w:bottom w:val="nil"/>
              <w:right w:val="single" w:sz="4" w:space="0" w:color="auto"/>
            </w:tcBorders>
            <w:noWrap/>
            <w:vAlign w:val="bottom"/>
            <w:hideMark/>
          </w:tcPr>
          <w:p w:rsidR="009D00FA" w:rsidRDefault="009D00FA" w:rsidP="00970B6F">
            <w:pPr>
              <w:rPr>
                <w:rFonts w:ascii="Arial" w:hAnsi="Arial" w:cs="Arial"/>
                <w:b/>
                <w:bCs/>
                <w:color w:val="000000"/>
                <w:sz w:val="16"/>
                <w:szCs w:val="16"/>
                <w:lang w:eastAsia="es-MX"/>
              </w:rPr>
            </w:pPr>
            <w:r>
              <w:rPr>
                <w:rFonts w:ascii="Arial" w:hAnsi="Arial" w:cs="Arial"/>
                <w:b/>
                <w:bCs/>
                <w:color w:val="000000"/>
                <w:sz w:val="16"/>
                <w:szCs w:val="16"/>
                <w:lang w:eastAsia="es-MX"/>
              </w:rPr>
              <w:t>NOMINA</w:t>
            </w:r>
          </w:p>
        </w:tc>
        <w:tc>
          <w:tcPr>
            <w:tcW w:w="1134" w:type="dxa"/>
            <w:tcBorders>
              <w:top w:val="nil"/>
              <w:left w:val="nil"/>
              <w:bottom w:val="nil"/>
              <w:right w:val="single" w:sz="4" w:space="0" w:color="auto"/>
            </w:tcBorders>
            <w:noWrap/>
            <w:vAlign w:val="bottom"/>
            <w:hideMark/>
          </w:tcPr>
          <w:p w:rsidR="009D00FA" w:rsidRDefault="009D00FA" w:rsidP="00970B6F">
            <w:pPr>
              <w:jc w:val="right"/>
              <w:rPr>
                <w:rFonts w:ascii="Arial" w:hAnsi="Arial" w:cs="Arial"/>
                <w:color w:val="000000"/>
                <w:sz w:val="16"/>
                <w:szCs w:val="16"/>
                <w:lang w:eastAsia="es-MX"/>
              </w:rPr>
            </w:pPr>
            <w:r>
              <w:rPr>
                <w:rFonts w:ascii="Arial" w:hAnsi="Arial" w:cs="Arial"/>
                <w:color w:val="000000"/>
                <w:sz w:val="16"/>
                <w:szCs w:val="16"/>
                <w:lang w:eastAsia="es-MX"/>
              </w:rPr>
              <w:t>855,366.54</w:t>
            </w:r>
          </w:p>
        </w:tc>
        <w:tc>
          <w:tcPr>
            <w:tcW w:w="992" w:type="dxa"/>
            <w:tcBorders>
              <w:top w:val="nil"/>
              <w:left w:val="nil"/>
              <w:bottom w:val="nil"/>
              <w:right w:val="single" w:sz="4" w:space="0" w:color="auto"/>
            </w:tcBorders>
            <w:noWrap/>
            <w:vAlign w:val="bottom"/>
            <w:hideMark/>
          </w:tcPr>
          <w:p w:rsidR="009D00FA" w:rsidRDefault="009D00FA" w:rsidP="00970B6F">
            <w:pPr>
              <w:rPr>
                <w:rFonts w:ascii="Arial" w:hAnsi="Arial" w:cs="Arial"/>
                <w:color w:val="000000"/>
                <w:sz w:val="16"/>
                <w:szCs w:val="16"/>
                <w:lang w:eastAsia="es-MX"/>
              </w:rPr>
            </w:pPr>
            <w:r>
              <w:rPr>
                <w:rFonts w:ascii="Arial" w:hAnsi="Arial" w:cs="Arial"/>
                <w:color w:val="000000"/>
                <w:sz w:val="16"/>
                <w:szCs w:val="16"/>
                <w:lang w:eastAsia="es-MX"/>
              </w:rPr>
              <w:t> </w:t>
            </w:r>
          </w:p>
        </w:tc>
      </w:tr>
      <w:tr w:rsidR="009D00FA" w:rsidTr="00970B6F">
        <w:trPr>
          <w:trHeight w:val="70"/>
        </w:trPr>
        <w:tc>
          <w:tcPr>
            <w:tcW w:w="444" w:type="dxa"/>
            <w:tcBorders>
              <w:top w:val="nil"/>
              <w:left w:val="single" w:sz="4" w:space="0" w:color="auto"/>
              <w:bottom w:val="single" w:sz="4" w:space="0" w:color="auto"/>
              <w:right w:val="nil"/>
            </w:tcBorders>
            <w:noWrap/>
            <w:vAlign w:val="bottom"/>
            <w:hideMark/>
          </w:tcPr>
          <w:p w:rsidR="009D00FA" w:rsidRDefault="009D00FA" w:rsidP="00970B6F">
            <w:pPr>
              <w:rPr>
                <w:rFonts w:ascii="Arial" w:hAnsi="Arial" w:cs="Arial"/>
                <w:color w:val="000000"/>
                <w:sz w:val="16"/>
                <w:szCs w:val="16"/>
                <w:lang w:eastAsia="es-MX"/>
              </w:rPr>
            </w:pPr>
            <w:r>
              <w:rPr>
                <w:rFonts w:ascii="Arial" w:hAnsi="Arial" w:cs="Arial"/>
                <w:color w:val="000000"/>
                <w:sz w:val="16"/>
                <w:szCs w:val="16"/>
                <w:lang w:eastAsia="es-MX"/>
              </w:rPr>
              <w:t> </w:t>
            </w:r>
          </w:p>
        </w:tc>
        <w:tc>
          <w:tcPr>
            <w:tcW w:w="448" w:type="dxa"/>
            <w:tcBorders>
              <w:top w:val="nil"/>
              <w:left w:val="nil"/>
              <w:bottom w:val="single" w:sz="4" w:space="0" w:color="auto"/>
              <w:right w:val="nil"/>
            </w:tcBorders>
            <w:noWrap/>
            <w:vAlign w:val="bottom"/>
            <w:hideMark/>
          </w:tcPr>
          <w:p w:rsidR="009D00FA" w:rsidRDefault="009D00FA" w:rsidP="00970B6F">
            <w:pPr>
              <w:rPr>
                <w:rFonts w:ascii="Arial" w:hAnsi="Arial" w:cs="Arial"/>
                <w:color w:val="000000"/>
                <w:sz w:val="16"/>
                <w:szCs w:val="16"/>
                <w:lang w:eastAsia="es-MX"/>
              </w:rPr>
            </w:pPr>
            <w:r>
              <w:rPr>
                <w:rFonts w:ascii="Arial" w:hAnsi="Arial" w:cs="Arial"/>
                <w:color w:val="000000"/>
                <w:sz w:val="16"/>
                <w:szCs w:val="16"/>
                <w:lang w:eastAsia="es-MX"/>
              </w:rPr>
              <w:t> </w:t>
            </w:r>
          </w:p>
        </w:tc>
        <w:tc>
          <w:tcPr>
            <w:tcW w:w="562" w:type="dxa"/>
            <w:tcBorders>
              <w:top w:val="nil"/>
              <w:left w:val="nil"/>
              <w:bottom w:val="single" w:sz="4" w:space="0" w:color="auto"/>
              <w:right w:val="nil"/>
            </w:tcBorders>
            <w:noWrap/>
            <w:vAlign w:val="bottom"/>
            <w:hideMark/>
          </w:tcPr>
          <w:p w:rsidR="009D00FA" w:rsidRDefault="009D00FA" w:rsidP="00970B6F">
            <w:pPr>
              <w:rPr>
                <w:rFonts w:ascii="Arial" w:hAnsi="Arial" w:cs="Arial"/>
                <w:color w:val="000000"/>
                <w:sz w:val="16"/>
                <w:szCs w:val="16"/>
                <w:lang w:eastAsia="es-MX"/>
              </w:rPr>
            </w:pPr>
            <w:r>
              <w:rPr>
                <w:rFonts w:ascii="Arial" w:hAnsi="Arial" w:cs="Arial"/>
                <w:color w:val="000000"/>
                <w:sz w:val="16"/>
                <w:szCs w:val="16"/>
                <w:lang w:eastAsia="es-MX"/>
              </w:rPr>
              <w:t> </w:t>
            </w:r>
          </w:p>
        </w:tc>
        <w:tc>
          <w:tcPr>
            <w:tcW w:w="1098" w:type="dxa"/>
            <w:tcBorders>
              <w:top w:val="nil"/>
              <w:left w:val="nil"/>
              <w:bottom w:val="single" w:sz="4" w:space="0" w:color="auto"/>
              <w:right w:val="single" w:sz="4" w:space="0" w:color="auto"/>
            </w:tcBorders>
            <w:noWrap/>
            <w:vAlign w:val="bottom"/>
            <w:hideMark/>
          </w:tcPr>
          <w:p w:rsidR="009D00FA" w:rsidRDefault="009D00FA" w:rsidP="00970B6F">
            <w:pPr>
              <w:rPr>
                <w:rFonts w:ascii="Arial" w:hAnsi="Arial" w:cs="Arial"/>
                <w:color w:val="000000"/>
                <w:sz w:val="16"/>
                <w:szCs w:val="16"/>
                <w:lang w:eastAsia="es-MX"/>
              </w:rPr>
            </w:pPr>
            <w:r>
              <w:rPr>
                <w:rFonts w:ascii="Arial" w:hAnsi="Arial" w:cs="Arial"/>
                <w:color w:val="000000"/>
                <w:sz w:val="16"/>
                <w:szCs w:val="16"/>
                <w:lang w:eastAsia="es-MX"/>
              </w:rPr>
              <w:t> </w:t>
            </w:r>
          </w:p>
        </w:tc>
        <w:tc>
          <w:tcPr>
            <w:tcW w:w="1134" w:type="dxa"/>
            <w:tcBorders>
              <w:top w:val="nil"/>
              <w:left w:val="nil"/>
              <w:bottom w:val="single" w:sz="4" w:space="0" w:color="auto"/>
              <w:right w:val="single" w:sz="4" w:space="0" w:color="auto"/>
            </w:tcBorders>
            <w:noWrap/>
            <w:vAlign w:val="bottom"/>
            <w:hideMark/>
          </w:tcPr>
          <w:p w:rsidR="009D00FA" w:rsidRDefault="009D00FA" w:rsidP="00970B6F">
            <w:pPr>
              <w:rPr>
                <w:rFonts w:ascii="Arial" w:hAnsi="Arial" w:cs="Arial"/>
                <w:color w:val="000000"/>
                <w:sz w:val="20"/>
                <w:szCs w:val="20"/>
                <w:lang w:eastAsia="es-MX"/>
              </w:rPr>
            </w:pPr>
            <w:r>
              <w:rPr>
                <w:rFonts w:ascii="Arial" w:hAnsi="Arial" w:cs="Arial"/>
                <w:color w:val="000000"/>
                <w:sz w:val="20"/>
                <w:szCs w:val="20"/>
                <w:lang w:eastAsia="es-MX"/>
              </w:rPr>
              <w:t> </w:t>
            </w:r>
          </w:p>
        </w:tc>
        <w:tc>
          <w:tcPr>
            <w:tcW w:w="1701" w:type="dxa"/>
            <w:tcBorders>
              <w:top w:val="nil"/>
              <w:left w:val="nil"/>
              <w:bottom w:val="single" w:sz="4" w:space="0" w:color="auto"/>
              <w:right w:val="single" w:sz="4" w:space="0" w:color="auto"/>
            </w:tcBorders>
            <w:noWrap/>
            <w:vAlign w:val="bottom"/>
            <w:hideMark/>
          </w:tcPr>
          <w:p w:rsidR="009D00FA" w:rsidRDefault="009D00FA" w:rsidP="00970B6F">
            <w:pPr>
              <w:rPr>
                <w:rFonts w:ascii="Arial" w:hAnsi="Arial" w:cs="Arial"/>
                <w:color w:val="000000"/>
                <w:sz w:val="20"/>
                <w:szCs w:val="20"/>
                <w:lang w:eastAsia="es-MX"/>
              </w:rPr>
            </w:pPr>
            <w:r>
              <w:rPr>
                <w:rFonts w:ascii="Arial" w:hAnsi="Arial" w:cs="Arial"/>
                <w:color w:val="000000"/>
                <w:sz w:val="20"/>
                <w:szCs w:val="20"/>
                <w:lang w:eastAsia="es-MX"/>
              </w:rPr>
              <w:t> </w:t>
            </w:r>
          </w:p>
        </w:tc>
        <w:tc>
          <w:tcPr>
            <w:tcW w:w="1134" w:type="dxa"/>
            <w:tcBorders>
              <w:top w:val="nil"/>
              <w:left w:val="nil"/>
              <w:bottom w:val="single" w:sz="4" w:space="0" w:color="auto"/>
              <w:right w:val="single" w:sz="4" w:space="0" w:color="auto"/>
            </w:tcBorders>
            <w:noWrap/>
            <w:vAlign w:val="bottom"/>
            <w:hideMark/>
          </w:tcPr>
          <w:p w:rsidR="009D00FA" w:rsidRDefault="009D00FA" w:rsidP="00970B6F">
            <w:pPr>
              <w:rPr>
                <w:rFonts w:ascii="Arial" w:hAnsi="Arial" w:cs="Arial"/>
                <w:color w:val="000000"/>
                <w:sz w:val="20"/>
                <w:szCs w:val="20"/>
                <w:lang w:eastAsia="es-MX"/>
              </w:rPr>
            </w:pPr>
            <w:r>
              <w:rPr>
                <w:rFonts w:ascii="Arial" w:hAnsi="Arial" w:cs="Arial"/>
                <w:color w:val="000000"/>
                <w:sz w:val="20"/>
                <w:szCs w:val="20"/>
                <w:lang w:eastAsia="es-MX"/>
              </w:rPr>
              <w:t> </w:t>
            </w:r>
          </w:p>
        </w:tc>
        <w:tc>
          <w:tcPr>
            <w:tcW w:w="992" w:type="dxa"/>
            <w:tcBorders>
              <w:top w:val="nil"/>
              <w:left w:val="nil"/>
              <w:bottom w:val="single" w:sz="4" w:space="0" w:color="auto"/>
              <w:right w:val="single" w:sz="4" w:space="0" w:color="auto"/>
            </w:tcBorders>
            <w:noWrap/>
            <w:vAlign w:val="bottom"/>
            <w:hideMark/>
          </w:tcPr>
          <w:p w:rsidR="009D00FA" w:rsidRDefault="009D00FA" w:rsidP="00970B6F">
            <w:pPr>
              <w:rPr>
                <w:rFonts w:ascii="Arial" w:hAnsi="Arial" w:cs="Arial"/>
                <w:color w:val="000000"/>
                <w:sz w:val="16"/>
                <w:szCs w:val="16"/>
                <w:lang w:eastAsia="es-MX"/>
              </w:rPr>
            </w:pPr>
            <w:r>
              <w:rPr>
                <w:rFonts w:ascii="Arial" w:hAnsi="Arial" w:cs="Arial"/>
                <w:color w:val="000000"/>
                <w:sz w:val="16"/>
                <w:szCs w:val="16"/>
                <w:lang w:eastAsia="es-MX"/>
              </w:rPr>
              <w:t> </w:t>
            </w:r>
          </w:p>
        </w:tc>
      </w:tr>
    </w:tbl>
    <w:p w:rsidR="00DE6220" w:rsidRDefault="00DE6220" w:rsidP="0025589A">
      <w:pPr>
        <w:pStyle w:val="Sinespaciado"/>
        <w:ind w:firstLine="708"/>
        <w:jc w:val="both"/>
        <w:rPr>
          <w:rFonts w:ascii="Arial" w:hAnsi="Arial" w:cs="Arial"/>
          <w:bCs/>
          <w:sz w:val="24"/>
          <w:szCs w:val="24"/>
          <w:lang w:val="es-ES"/>
        </w:rPr>
      </w:pPr>
    </w:p>
    <w:p w:rsidR="00DE6220" w:rsidRDefault="00DE6220" w:rsidP="0025589A">
      <w:pPr>
        <w:pStyle w:val="Sinespaciado"/>
        <w:ind w:firstLine="708"/>
        <w:jc w:val="both"/>
        <w:rPr>
          <w:rFonts w:ascii="Arial" w:hAnsi="Arial" w:cs="Arial"/>
          <w:bCs/>
          <w:sz w:val="24"/>
          <w:szCs w:val="24"/>
          <w:lang w:val="es-ES"/>
        </w:rPr>
      </w:pPr>
    </w:p>
    <w:p w:rsidR="0026433D" w:rsidRPr="00A87A79" w:rsidRDefault="0025589A" w:rsidP="00A87A79">
      <w:pPr>
        <w:pStyle w:val="Sinespaciado"/>
        <w:spacing w:line="360" w:lineRule="auto"/>
        <w:jc w:val="both"/>
        <w:rPr>
          <w:rFonts w:ascii="Arial" w:hAnsi="Arial" w:cs="Arial"/>
          <w:b/>
          <w:bCs/>
          <w:i/>
          <w:sz w:val="28"/>
          <w:szCs w:val="28"/>
          <w:lang w:val="es-ES"/>
        </w:rPr>
      </w:pPr>
      <w:r w:rsidRPr="00DE6220">
        <w:rPr>
          <w:rFonts w:ascii="Arial" w:hAnsi="Arial" w:cs="Arial"/>
          <w:bCs/>
          <w:i/>
          <w:sz w:val="28"/>
          <w:szCs w:val="28"/>
          <w:lang w:val="es-ES"/>
        </w:rPr>
        <w:t xml:space="preserve">Por los motivos antes expuestos la Comisión Edilicia Permanente de Hacienda Pública y Patrimonio Municipal, emite el siguiente: </w:t>
      </w:r>
      <w:r w:rsidR="00DE6220" w:rsidRPr="00DE6220">
        <w:rPr>
          <w:rFonts w:ascii="Arial" w:hAnsi="Arial" w:cs="Arial"/>
          <w:bCs/>
          <w:i/>
          <w:sz w:val="28"/>
          <w:szCs w:val="28"/>
          <w:lang w:val="es-ES"/>
        </w:rPr>
        <w:t xml:space="preserve"> </w:t>
      </w:r>
      <w:r w:rsidR="00DE6220" w:rsidRPr="00DE6220">
        <w:rPr>
          <w:rFonts w:ascii="Arial" w:hAnsi="Arial" w:cs="Arial"/>
          <w:b/>
          <w:bCs/>
          <w:i/>
          <w:sz w:val="28"/>
          <w:szCs w:val="28"/>
          <w:lang w:val="es-ES"/>
        </w:rPr>
        <w:t>CONSIDERANDO</w:t>
      </w:r>
      <w:r w:rsidRPr="00DE6220">
        <w:rPr>
          <w:rFonts w:ascii="Arial" w:hAnsi="Arial" w:cs="Arial"/>
          <w:b/>
          <w:bCs/>
          <w:i/>
          <w:sz w:val="28"/>
          <w:szCs w:val="28"/>
          <w:lang w:val="es-ES"/>
        </w:rPr>
        <w:t>:</w:t>
      </w:r>
      <w:r w:rsidR="00DE6220" w:rsidRPr="00DE6220">
        <w:rPr>
          <w:rFonts w:ascii="Arial" w:hAnsi="Arial" w:cs="Arial"/>
          <w:b/>
          <w:bCs/>
          <w:i/>
          <w:sz w:val="28"/>
          <w:szCs w:val="28"/>
          <w:lang w:val="es-ES"/>
        </w:rPr>
        <w:t xml:space="preserve"> </w:t>
      </w:r>
      <w:r w:rsidRPr="00DE6220">
        <w:rPr>
          <w:rFonts w:ascii="Arial" w:hAnsi="Arial" w:cs="Arial"/>
          <w:b/>
          <w:bCs/>
          <w:i/>
          <w:sz w:val="28"/>
          <w:szCs w:val="28"/>
        </w:rPr>
        <w:t xml:space="preserve">1.- </w:t>
      </w:r>
      <w:r w:rsidRPr="00DE6220">
        <w:rPr>
          <w:rFonts w:ascii="Arial" w:hAnsi="Arial" w:cs="Arial"/>
          <w:bCs/>
          <w:i/>
          <w:sz w:val="28"/>
          <w:szCs w:val="28"/>
        </w:rPr>
        <w:t xml:space="preserve">En Sesión Extraordinaria número 3 de la Comisión Edilicia Permanente de Hacienda Pública y Patrimonio Municipal, celebrada el día 07 de Abril de 2022, se analizó la solicitud contenida en el oficio número HPM/193/2022, suscrito por la Licenciada Ana María del Toro Torres, Encargada de la Hacienda Municipal en el que solicita por mi conducto y una vez analizada por la comisión a mi cargo,  sea sometido a la consideración del Pleno del Honorable Ayuntamiento Constitucional de Zapotlán el Grande, Jalisco, la aprobación de </w:t>
      </w:r>
      <w:r w:rsidRPr="00DE6220">
        <w:rPr>
          <w:rFonts w:ascii="Arial" w:hAnsi="Arial" w:cs="Arial"/>
          <w:i/>
          <w:color w:val="000000"/>
          <w:sz w:val="28"/>
          <w:szCs w:val="28"/>
          <w:lang w:eastAsia="es-MX"/>
        </w:rPr>
        <w:t>la transferencia presupuestal de la partida 143 de Aportaciones al Sistema para el retiro. A efecto de que sea autorizada por el Honorable Ayuntamiento, para cubrir la erogación generada por la incorporación total del personal de Elección Popular al Instituto de Pensiones del Estado de Jalisco, para dar cumplimiento con las dispos</w:t>
      </w:r>
      <w:r w:rsidR="00DE6220" w:rsidRPr="00DE6220">
        <w:rPr>
          <w:rFonts w:ascii="Arial" w:hAnsi="Arial" w:cs="Arial"/>
          <w:i/>
          <w:color w:val="000000"/>
          <w:sz w:val="28"/>
          <w:szCs w:val="28"/>
          <w:lang w:eastAsia="es-MX"/>
        </w:rPr>
        <w:t xml:space="preserve">iciones legales al respecto. </w:t>
      </w:r>
      <w:r w:rsidRPr="00DE6220">
        <w:rPr>
          <w:rFonts w:ascii="Arial" w:eastAsia="Times New Roman" w:hAnsi="Arial" w:cs="Arial"/>
          <w:i/>
          <w:color w:val="000000"/>
          <w:sz w:val="28"/>
          <w:szCs w:val="28"/>
          <w:lang w:eastAsia="es-MX"/>
        </w:rPr>
        <w:t xml:space="preserve">Se transferirá la cantidad de $855,367.00 del sub-ejercicio de enero a marzo en administración del departamento de programación y presupuestos al departamento de Nomina, quien administra la partida 143 de forma general para la distribución mensual del </w:t>
      </w:r>
      <w:r w:rsidRPr="00DE6220">
        <w:rPr>
          <w:rFonts w:ascii="Arial" w:eastAsia="Times New Roman" w:hAnsi="Arial" w:cs="Arial"/>
          <w:i/>
          <w:color w:val="000000"/>
          <w:sz w:val="28"/>
          <w:szCs w:val="28"/>
          <w:lang w:eastAsia="es-MX"/>
        </w:rPr>
        <w:lastRenderedPageBreak/>
        <w:t>presupuesto devengado por cada departamento.</w:t>
      </w:r>
      <w:r w:rsidR="00DE6220" w:rsidRPr="00DE6220">
        <w:rPr>
          <w:rFonts w:ascii="Arial" w:hAnsi="Arial" w:cs="Arial"/>
          <w:bCs/>
          <w:i/>
          <w:sz w:val="28"/>
          <w:szCs w:val="28"/>
          <w:lang w:val="es-ES"/>
        </w:rPr>
        <w:t xml:space="preserve"> </w:t>
      </w:r>
      <w:r w:rsidRPr="00DE6220">
        <w:rPr>
          <w:rFonts w:ascii="Arial" w:hAnsi="Arial" w:cs="Arial"/>
          <w:b/>
          <w:bCs/>
          <w:i/>
          <w:sz w:val="28"/>
          <w:szCs w:val="28"/>
          <w:lang w:val="es-ES"/>
        </w:rPr>
        <w:t>2.</w:t>
      </w:r>
      <w:r w:rsidRPr="00DE6220">
        <w:rPr>
          <w:rFonts w:ascii="Arial" w:hAnsi="Arial" w:cs="Arial"/>
          <w:bCs/>
          <w:i/>
          <w:sz w:val="28"/>
          <w:szCs w:val="28"/>
          <w:lang w:val="es-ES"/>
        </w:rPr>
        <w:t xml:space="preserve">- Lo anterior tiene sustento en los soportes documentales que al efecto exhibió el Licenciado José de Jesús Núñez González Coordinador General de Administración e Innovación Gubernamental así como la Licenciada Ana María del Toro Torres Encargada de la Hacienda Municipal, en la Sesión Extraordinaria de la Comisión Edilicia Permanente de Hacienda Pública y Patrimonio Municipal, celebrada el día 07 siete de Abril de 2022, mismo que se agrega al presente dictamen, en la que en esencia se analizó, estudió y discutió la petición, y basados en la explicación técnica de las áreas responsables, aprobamos por unanimidad de los presentes, con el voto de cuatro de los regidores integrantes de dicha comisión; 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Estado de Jalisco y sus Municipios; así como lo dispuesto por los artículos primero y los relativos al Capítulo II.- De las Obligaciones de las Entidades Públicas Patronales de la Ley del Instituto de Pensiones del Estado de Jalisco y el artículo 64 párrafo II de la Ley para los Servidores Públicos del Estado de Jalisco y sus Municipios. Por lo anteriormente expuesto, fundado y motivado la Comisión Edilicia Permanente de Hacienda Pública y Patrimonio Municipal, proponemos para su aprobación dictamen que contiene los siguientes: </w:t>
      </w:r>
      <w:r w:rsidRPr="00DE6220">
        <w:rPr>
          <w:rFonts w:ascii="Arial" w:hAnsi="Arial" w:cs="Arial"/>
          <w:b/>
          <w:bCs/>
          <w:i/>
          <w:sz w:val="28"/>
          <w:szCs w:val="28"/>
          <w:lang w:val="es-ES"/>
        </w:rPr>
        <w:t>RESOLUTIVOS:</w:t>
      </w:r>
      <w:r w:rsidR="00DE6220" w:rsidRPr="00DE6220">
        <w:rPr>
          <w:rFonts w:ascii="Arial" w:hAnsi="Arial" w:cs="Arial"/>
          <w:b/>
          <w:bCs/>
          <w:i/>
          <w:sz w:val="28"/>
          <w:szCs w:val="28"/>
          <w:lang w:val="es-ES"/>
        </w:rPr>
        <w:t xml:space="preserve"> </w:t>
      </w:r>
      <w:r w:rsidRPr="00DE6220">
        <w:rPr>
          <w:rFonts w:ascii="Arial" w:hAnsi="Arial" w:cs="Arial"/>
          <w:b/>
          <w:bCs/>
          <w:i/>
          <w:sz w:val="28"/>
          <w:szCs w:val="28"/>
          <w:lang w:val="es-ES"/>
        </w:rPr>
        <w:t xml:space="preserve">PRIMERO.- </w:t>
      </w:r>
      <w:r w:rsidRPr="00DE6220">
        <w:rPr>
          <w:rFonts w:ascii="Arial" w:hAnsi="Arial" w:cs="Arial"/>
          <w:bCs/>
          <w:i/>
          <w:sz w:val="28"/>
          <w:szCs w:val="28"/>
          <w:lang w:val="es-ES"/>
        </w:rPr>
        <w:t xml:space="preserve">Se autoriza por el Pleno de este Honorable Ayuntamiento Constitucional de Zapotlán el Grande, Jalisco,  la aprobación </w:t>
      </w:r>
      <w:r w:rsidRPr="00DE6220">
        <w:rPr>
          <w:rFonts w:ascii="Arial" w:hAnsi="Arial" w:cs="Arial"/>
          <w:bCs/>
          <w:i/>
          <w:sz w:val="28"/>
          <w:szCs w:val="28"/>
        </w:rPr>
        <w:t xml:space="preserve">de </w:t>
      </w:r>
      <w:r w:rsidRPr="00DE6220">
        <w:rPr>
          <w:rFonts w:ascii="Arial" w:eastAsia="Times New Roman" w:hAnsi="Arial" w:cs="Arial"/>
          <w:i/>
          <w:color w:val="000000"/>
          <w:sz w:val="28"/>
          <w:szCs w:val="28"/>
          <w:lang w:eastAsia="es-MX"/>
        </w:rPr>
        <w:t>la transferencia presupuestal de la par</w:t>
      </w:r>
      <w:r w:rsidRPr="00DE6220">
        <w:rPr>
          <w:rFonts w:ascii="Arial" w:hAnsi="Arial" w:cs="Arial"/>
          <w:i/>
          <w:color w:val="000000"/>
          <w:sz w:val="28"/>
          <w:szCs w:val="28"/>
          <w:lang w:eastAsia="es-MX"/>
        </w:rPr>
        <w:t>t</w:t>
      </w:r>
      <w:r w:rsidRPr="00DE6220">
        <w:rPr>
          <w:rFonts w:ascii="Arial" w:eastAsia="Times New Roman" w:hAnsi="Arial" w:cs="Arial"/>
          <w:i/>
          <w:color w:val="000000"/>
          <w:sz w:val="28"/>
          <w:szCs w:val="28"/>
          <w:lang w:eastAsia="es-MX"/>
        </w:rPr>
        <w:t xml:space="preserve">ida 143 de Aportaciones al Sistema </w:t>
      </w:r>
      <w:r w:rsidRPr="00DE6220">
        <w:rPr>
          <w:rFonts w:ascii="Arial" w:eastAsia="Times New Roman" w:hAnsi="Arial" w:cs="Arial"/>
          <w:i/>
          <w:color w:val="000000"/>
          <w:sz w:val="28"/>
          <w:szCs w:val="28"/>
          <w:lang w:eastAsia="es-MX"/>
        </w:rPr>
        <w:lastRenderedPageBreak/>
        <w:t>para el Retiro, del sub-ejercicio de enero a marzo se  transferirá la cantidad de $855,367.00 del departamento de programación y presupuestos al departamento de Nomina, quien administra la partida 143 de forma general para la distribución mensual del presupuesto devengado por cada departamento para cubrir la erogación generada por la incorporación total del personal de Elección Popular al Instituto de Pensiones del Estado de Jalisco, que cubre las aportaciones para el resto del año, correspondiente al ejercicio fiscal 2022.</w:t>
      </w:r>
      <w:r w:rsidR="00DE6220" w:rsidRPr="00DE6220">
        <w:rPr>
          <w:rFonts w:ascii="Arial" w:hAnsi="Arial" w:cs="Arial"/>
          <w:bCs/>
          <w:i/>
          <w:sz w:val="28"/>
          <w:szCs w:val="28"/>
          <w:lang w:val="es-ES"/>
        </w:rPr>
        <w:t xml:space="preserve"> </w:t>
      </w:r>
      <w:r w:rsidRPr="00DE6220">
        <w:rPr>
          <w:rFonts w:ascii="Arial" w:hAnsi="Arial" w:cs="Arial"/>
          <w:b/>
          <w:bCs/>
          <w:i/>
          <w:sz w:val="28"/>
          <w:szCs w:val="28"/>
          <w:lang w:val="es-ES"/>
        </w:rPr>
        <w:t>SEGUNDO.</w:t>
      </w:r>
      <w:r w:rsidRPr="00DE6220">
        <w:rPr>
          <w:rFonts w:ascii="Arial" w:hAnsi="Arial" w:cs="Arial"/>
          <w:bCs/>
          <w:i/>
          <w:sz w:val="28"/>
          <w:szCs w:val="28"/>
          <w:lang w:val="es-ES"/>
        </w:rPr>
        <w:t>- Se faculta al Presidente Municipal, para que por conducto de la Licenciada Ana María del Toro Torres en su carácter de Encargada de la Hacienda Municipal, realice la transferencia en el presupuesto de Egresos del municipio correspondiente al ejercicio fiscal 2022, a efecto de dar cumplimiento con las obl</w:t>
      </w:r>
      <w:r w:rsidR="00DE6220" w:rsidRPr="00DE6220">
        <w:rPr>
          <w:rFonts w:ascii="Arial" w:hAnsi="Arial" w:cs="Arial"/>
          <w:bCs/>
          <w:i/>
          <w:sz w:val="28"/>
          <w:szCs w:val="28"/>
          <w:lang w:val="es-ES"/>
        </w:rPr>
        <w:t xml:space="preserve">igaciones relativas al Capítulo </w:t>
      </w:r>
      <w:r w:rsidRPr="00DE6220">
        <w:rPr>
          <w:rFonts w:ascii="Arial" w:hAnsi="Arial" w:cs="Arial"/>
          <w:bCs/>
          <w:i/>
          <w:sz w:val="28"/>
          <w:szCs w:val="28"/>
          <w:lang w:val="es-ES"/>
        </w:rPr>
        <w:t xml:space="preserve">II.- De las Obligaciones de las Entidades Públicas Patronales de la Ley del Instituto de Pensiones del Estado de Jalisco y el artículo 64 segundo párrafo de la Ley para los Servidores Públicos del Estado de Jalisco y sus Municipios y no incurrir en omisiones que puedan culminar en una ejecución forzosa que afecte las participaciones estatales, en perjuicio de este Municipio de Zapotlán el Grande, Jalisco. Siendo menester advertir que </w:t>
      </w:r>
      <w:r w:rsidRPr="00DE6220">
        <w:rPr>
          <w:rFonts w:ascii="Arial" w:hAnsi="Arial" w:cs="Arial"/>
          <w:i/>
          <w:sz w:val="28"/>
          <w:szCs w:val="28"/>
        </w:rPr>
        <w:t>el incumplimiento a lo anterior, será sancionado conforme a la Ley de Responsabilidades Políticas y Administrativas del Estado de Jalisco.</w:t>
      </w:r>
      <w:r w:rsidRPr="00DE6220">
        <w:rPr>
          <w:rFonts w:ascii="Arial" w:hAnsi="Arial" w:cs="Arial"/>
          <w:bCs/>
          <w:i/>
          <w:sz w:val="28"/>
          <w:szCs w:val="28"/>
          <w:lang w:val="es-ES"/>
        </w:rPr>
        <w:t xml:space="preserve"> </w:t>
      </w:r>
      <w:r w:rsidRPr="00DE6220">
        <w:rPr>
          <w:rFonts w:ascii="Arial" w:hAnsi="Arial" w:cs="Arial"/>
          <w:b/>
          <w:bCs/>
          <w:i/>
          <w:sz w:val="28"/>
          <w:szCs w:val="28"/>
          <w:lang w:val="es-ES"/>
        </w:rPr>
        <w:t xml:space="preserve">TERCERO.- </w:t>
      </w:r>
      <w:r w:rsidRPr="00DE6220">
        <w:rPr>
          <w:rFonts w:ascii="Arial" w:hAnsi="Arial" w:cs="Arial"/>
          <w:bCs/>
          <w:i/>
          <w:sz w:val="28"/>
          <w:szCs w:val="28"/>
          <w:lang w:val="es-ES"/>
        </w:rPr>
        <w:t xml:space="preserve">Notifíquese los presentes resolutivos a los CC. Presidente Municipal, a la Encargada de la Hacienda Municipal, a la Coordinación General de Administración e Innovación Gubernamental  para los efectos legales correspondientes. </w:t>
      </w:r>
      <w:r w:rsidR="00DE6220" w:rsidRPr="00DE6220">
        <w:rPr>
          <w:rFonts w:ascii="Arial" w:hAnsi="Arial" w:cs="Arial"/>
          <w:bCs/>
          <w:i/>
          <w:sz w:val="28"/>
          <w:szCs w:val="28"/>
          <w:lang w:val="es-ES"/>
        </w:rPr>
        <w:t>ATENTAMENT</w:t>
      </w:r>
      <w:r w:rsidRPr="00DE6220">
        <w:rPr>
          <w:rFonts w:ascii="Arial" w:hAnsi="Arial" w:cs="Arial"/>
          <w:bCs/>
          <w:i/>
          <w:sz w:val="28"/>
          <w:szCs w:val="28"/>
          <w:lang w:val="es-ES"/>
        </w:rPr>
        <w:t>E</w:t>
      </w:r>
      <w:r w:rsidR="00DE6220" w:rsidRPr="00DE6220">
        <w:rPr>
          <w:rFonts w:ascii="Arial" w:hAnsi="Arial" w:cs="Arial"/>
          <w:bCs/>
          <w:i/>
          <w:sz w:val="28"/>
          <w:szCs w:val="28"/>
          <w:lang w:val="es-ES"/>
        </w:rPr>
        <w:t xml:space="preserve"> </w:t>
      </w:r>
      <w:r w:rsidRPr="00DE6220">
        <w:rPr>
          <w:rFonts w:ascii="Arial" w:hAnsi="Arial" w:cs="Arial"/>
          <w:bCs/>
          <w:i/>
          <w:sz w:val="28"/>
          <w:szCs w:val="28"/>
          <w:lang w:val="es-ES"/>
        </w:rPr>
        <w:t>“2022, Año de la Atención integral a Niñas, Niños y Adoles</w:t>
      </w:r>
      <w:r w:rsidR="00DE6220" w:rsidRPr="00DE6220">
        <w:rPr>
          <w:rFonts w:ascii="Arial" w:hAnsi="Arial" w:cs="Arial"/>
          <w:bCs/>
          <w:i/>
          <w:sz w:val="28"/>
          <w:szCs w:val="28"/>
          <w:lang w:val="es-ES"/>
        </w:rPr>
        <w:t xml:space="preserve">centes con Cáncer en Jalisco”. </w:t>
      </w:r>
      <w:r w:rsidRPr="00DE6220">
        <w:rPr>
          <w:rFonts w:ascii="Arial" w:hAnsi="Arial" w:cs="Arial"/>
          <w:bCs/>
          <w:i/>
          <w:sz w:val="28"/>
          <w:szCs w:val="28"/>
          <w:lang w:val="es-ES"/>
        </w:rPr>
        <w:t xml:space="preserve">“2022, Año del Cincuenta Aniversario del </w:t>
      </w:r>
      <w:r w:rsidRPr="00DE6220">
        <w:rPr>
          <w:rFonts w:ascii="Arial" w:hAnsi="Arial" w:cs="Arial"/>
          <w:bCs/>
          <w:i/>
          <w:sz w:val="28"/>
          <w:szCs w:val="28"/>
          <w:lang w:val="es-ES"/>
        </w:rPr>
        <w:lastRenderedPageBreak/>
        <w:t>Instituto Tecnológico de Ciudad Guzmán”.</w:t>
      </w:r>
      <w:r w:rsidR="00DE6220" w:rsidRPr="00DE6220">
        <w:rPr>
          <w:rFonts w:ascii="Arial" w:hAnsi="Arial" w:cs="Arial"/>
          <w:bCs/>
          <w:i/>
          <w:sz w:val="28"/>
          <w:szCs w:val="28"/>
          <w:lang w:val="es-ES"/>
        </w:rPr>
        <w:t xml:space="preserve"> </w:t>
      </w:r>
      <w:r w:rsidRPr="00DE6220">
        <w:rPr>
          <w:rFonts w:ascii="Arial" w:hAnsi="Arial" w:cs="Arial"/>
          <w:bCs/>
          <w:i/>
          <w:sz w:val="28"/>
          <w:szCs w:val="28"/>
          <w:lang w:val="es-ES"/>
        </w:rPr>
        <w:t>Cd. Guzmán Municipio de Zapotlán el Grande, Jalisco.</w:t>
      </w:r>
      <w:r w:rsidR="00DE6220" w:rsidRPr="00DE6220">
        <w:rPr>
          <w:rFonts w:ascii="Arial" w:hAnsi="Arial" w:cs="Arial"/>
          <w:bCs/>
          <w:i/>
          <w:sz w:val="28"/>
          <w:szCs w:val="28"/>
          <w:lang w:val="es-ES"/>
        </w:rPr>
        <w:t xml:space="preserve"> </w:t>
      </w:r>
      <w:r w:rsidRPr="00DE6220">
        <w:rPr>
          <w:rFonts w:ascii="Arial" w:hAnsi="Arial" w:cs="Arial"/>
          <w:bCs/>
          <w:i/>
          <w:sz w:val="28"/>
          <w:szCs w:val="28"/>
          <w:lang w:val="es-ES"/>
        </w:rPr>
        <w:t>A 08 de Abril de 2022.</w:t>
      </w:r>
      <w:r w:rsidR="00DE6220" w:rsidRPr="00DE6220">
        <w:rPr>
          <w:rFonts w:ascii="Arial" w:hAnsi="Arial" w:cs="Arial"/>
          <w:bCs/>
          <w:i/>
          <w:sz w:val="28"/>
          <w:szCs w:val="28"/>
          <w:lang w:val="es-ES"/>
        </w:rPr>
        <w:t xml:space="preserve"> </w:t>
      </w:r>
      <w:r w:rsidRPr="00DE6220">
        <w:rPr>
          <w:rFonts w:ascii="Arial" w:hAnsi="Arial" w:cs="Arial"/>
          <w:b/>
          <w:bCs/>
          <w:i/>
          <w:sz w:val="28"/>
          <w:szCs w:val="28"/>
          <w:lang w:val="es-ES"/>
        </w:rPr>
        <w:t>C. JORGE DE JESÚS JUÁREZ PARRA.</w:t>
      </w:r>
      <w:r w:rsidR="00DE6220" w:rsidRPr="00DE6220">
        <w:rPr>
          <w:rFonts w:ascii="Arial" w:hAnsi="Arial" w:cs="Arial"/>
          <w:bCs/>
          <w:i/>
          <w:sz w:val="28"/>
          <w:szCs w:val="28"/>
          <w:lang w:val="es-ES"/>
        </w:rPr>
        <w:t xml:space="preserve"> </w:t>
      </w:r>
      <w:r w:rsidRPr="00DE6220">
        <w:rPr>
          <w:rFonts w:ascii="Arial" w:hAnsi="Arial" w:cs="Arial"/>
          <w:bCs/>
          <w:i/>
          <w:sz w:val="28"/>
          <w:szCs w:val="28"/>
          <w:lang w:val="es-ES"/>
        </w:rPr>
        <w:t>Regidor Presidente de la Comisión Edilicia Permanente de Hacienda Pública</w:t>
      </w:r>
      <w:r w:rsidR="00DE6220" w:rsidRPr="00DE6220">
        <w:rPr>
          <w:rFonts w:ascii="Arial" w:hAnsi="Arial" w:cs="Arial"/>
          <w:bCs/>
          <w:i/>
          <w:sz w:val="28"/>
          <w:szCs w:val="28"/>
          <w:lang w:val="es-ES"/>
        </w:rPr>
        <w:t xml:space="preserve"> </w:t>
      </w:r>
      <w:r w:rsidRPr="00DE6220">
        <w:rPr>
          <w:rFonts w:ascii="Arial" w:hAnsi="Arial" w:cs="Arial"/>
          <w:bCs/>
          <w:i/>
          <w:sz w:val="28"/>
          <w:szCs w:val="28"/>
          <w:lang w:val="es-ES"/>
        </w:rPr>
        <w:t xml:space="preserve">y Patrimonio Municipal. </w:t>
      </w:r>
      <w:r w:rsidRPr="00DE6220">
        <w:rPr>
          <w:rFonts w:ascii="Arial" w:hAnsi="Arial" w:cs="Arial"/>
          <w:b/>
          <w:bCs/>
          <w:i/>
          <w:sz w:val="28"/>
          <w:szCs w:val="28"/>
          <w:lang w:val="es-ES"/>
        </w:rPr>
        <w:t>LIC. LAURA ELENA MARTÍNEZ RUVALCABA.</w:t>
      </w:r>
      <w:r w:rsidR="00DE6220" w:rsidRPr="00DE6220">
        <w:rPr>
          <w:rFonts w:ascii="Arial" w:hAnsi="Arial" w:cs="Arial"/>
          <w:bCs/>
          <w:i/>
          <w:sz w:val="28"/>
          <w:szCs w:val="28"/>
          <w:lang w:val="es-ES"/>
        </w:rPr>
        <w:t xml:space="preserve"> </w:t>
      </w:r>
      <w:r w:rsidRPr="00DE6220">
        <w:rPr>
          <w:rFonts w:ascii="Arial" w:hAnsi="Arial" w:cs="Arial"/>
          <w:bCs/>
          <w:i/>
          <w:sz w:val="28"/>
          <w:szCs w:val="28"/>
          <w:lang w:val="es-ES"/>
        </w:rPr>
        <w:t xml:space="preserve">Regidora Vocal de la Comisión Edilicia Permanente de Hacienda Pública y Patrimonio Municipal. </w:t>
      </w:r>
      <w:r w:rsidRPr="00DE6220">
        <w:rPr>
          <w:rFonts w:ascii="Arial" w:hAnsi="Arial" w:cs="Arial"/>
          <w:b/>
          <w:bCs/>
          <w:i/>
          <w:sz w:val="28"/>
          <w:szCs w:val="28"/>
          <w:lang w:val="es-ES"/>
        </w:rPr>
        <w:t>MTRA. TANIA MAGDALENA BERNARDINO JUÁREZ.</w:t>
      </w:r>
      <w:r w:rsidR="00DE6220" w:rsidRPr="00DE6220">
        <w:rPr>
          <w:rFonts w:ascii="Arial" w:hAnsi="Arial" w:cs="Arial"/>
          <w:bCs/>
          <w:i/>
          <w:sz w:val="28"/>
          <w:szCs w:val="28"/>
          <w:lang w:val="es-ES"/>
        </w:rPr>
        <w:t xml:space="preserve"> </w:t>
      </w:r>
      <w:r w:rsidRPr="00DE6220">
        <w:rPr>
          <w:rFonts w:ascii="Arial" w:hAnsi="Arial" w:cs="Arial"/>
          <w:bCs/>
          <w:i/>
          <w:sz w:val="28"/>
          <w:szCs w:val="28"/>
          <w:lang w:val="es-ES"/>
        </w:rPr>
        <w:t xml:space="preserve">Regidora Vocal de </w:t>
      </w:r>
      <w:r w:rsidR="00DE6220" w:rsidRPr="00DE6220">
        <w:rPr>
          <w:rFonts w:ascii="Arial" w:hAnsi="Arial" w:cs="Arial"/>
          <w:bCs/>
          <w:i/>
          <w:sz w:val="28"/>
          <w:szCs w:val="28"/>
          <w:lang w:val="es-ES"/>
        </w:rPr>
        <w:t xml:space="preserve">la Comisión Edilicia Permanente </w:t>
      </w:r>
      <w:r w:rsidRPr="00DE6220">
        <w:rPr>
          <w:rFonts w:ascii="Arial" w:hAnsi="Arial" w:cs="Arial"/>
          <w:bCs/>
          <w:i/>
          <w:sz w:val="28"/>
          <w:szCs w:val="28"/>
          <w:lang w:val="es-ES"/>
        </w:rPr>
        <w:t xml:space="preserve">de Hacienda </w:t>
      </w:r>
      <w:r w:rsidR="00DE6220" w:rsidRPr="00DE6220">
        <w:rPr>
          <w:rFonts w:ascii="Arial" w:hAnsi="Arial" w:cs="Arial"/>
          <w:bCs/>
          <w:i/>
          <w:sz w:val="28"/>
          <w:szCs w:val="28"/>
          <w:lang w:val="es-ES"/>
        </w:rPr>
        <w:t xml:space="preserve">Pública y Patrimonio Municipal. </w:t>
      </w:r>
      <w:r w:rsidRPr="00DE6220">
        <w:rPr>
          <w:rFonts w:ascii="Arial" w:hAnsi="Arial" w:cs="Arial"/>
          <w:b/>
          <w:bCs/>
          <w:i/>
          <w:sz w:val="28"/>
          <w:szCs w:val="28"/>
          <w:lang w:val="es-ES"/>
        </w:rPr>
        <w:t>C. MAGALI CASILLAS CONTRERAS.</w:t>
      </w:r>
      <w:r w:rsidR="00DE6220" w:rsidRPr="00DE6220">
        <w:rPr>
          <w:rFonts w:ascii="Arial" w:hAnsi="Arial" w:cs="Arial"/>
          <w:bCs/>
          <w:i/>
          <w:sz w:val="28"/>
          <w:szCs w:val="28"/>
          <w:lang w:val="es-ES"/>
        </w:rPr>
        <w:t xml:space="preserve"> </w:t>
      </w:r>
      <w:r w:rsidRPr="00DE6220">
        <w:rPr>
          <w:rFonts w:ascii="Arial" w:hAnsi="Arial" w:cs="Arial"/>
          <w:bCs/>
          <w:i/>
          <w:sz w:val="28"/>
          <w:szCs w:val="28"/>
          <w:lang w:val="es-ES"/>
        </w:rPr>
        <w:t xml:space="preserve">Regidora Vocal de la Comisión Edilicia Permanente de Hacienda Pública y Patrimonio Municipal. </w:t>
      </w:r>
      <w:r w:rsidRPr="00DE6220">
        <w:rPr>
          <w:rFonts w:ascii="Arial" w:hAnsi="Arial" w:cs="Arial"/>
          <w:b/>
          <w:bCs/>
          <w:i/>
          <w:sz w:val="28"/>
          <w:szCs w:val="28"/>
          <w:lang w:val="es-ES"/>
        </w:rPr>
        <w:t xml:space="preserve">C. DIANA LAURA ORTEGA PALAFOX. </w:t>
      </w:r>
      <w:r w:rsidRPr="00DE6220">
        <w:rPr>
          <w:rFonts w:ascii="Arial" w:hAnsi="Arial" w:cs="Arial"/>
          <w:bCs/>
          <w:i/>
          <w:sz w:val="28"/>
          <w:szCs w:val="28"/>
          <w:lang w:val="es-ES"/>
        </w:rPr>
        <w:t>Regidora Vocal de la Comisión Edilicia Permanente de Hacienda Pública y Patrimonio Municipal.</w:t>
      </w:r>
      <w:r w:rsidR="00DE6220" w:rsidRPr="00DE6220">
        <w:rPr>
          <w:rFonts w:ascii="Arial" w:hAnsi="Arial" w:cs="Arial"/>
          <w:bCs/>
          <w:i/>
          <w:sz w:val="28"/>
          <w:szCs w:val="28"/>
          <w:lang w:val="es-ES"/>
        </w:rPr>
        <w:t xml:space="preserve"> </w:t>
      </w:r>
      <w:r w:rsidR="00DE6220" w:rsidRPr="00DE6220">
        <w:rPr>
          <w:rFonts w:ascii="Arial" w:hAnsi="Arial" w:cs="Arial"/>
          <w:b/>
          <w:bCs/>
          <w:i/>
          <w:sz w:val="28"/>
          <w:szCs w:val="28"/>
          <w:lang w:val="es-ES"/>
        </w:rPr>
        <w:t>FIRMAN</w:t>
      </w:r>
      <w:r w:rsidR="000D2E78">
        <w:rPr>
          <w:rFonts w:ascii="Arial" w:hAnsi="Arial" w:cs="Arial"/>
          <w:b/>
          <w:bCs/>
          <w:i/>
          <w:sz w:val="28"/>
          <w:szCs w:val="28"/>
          <w:lang w:val="es-ES"/>
        </w:rPr>
        <w:t xml:space="preserve">” C. Regidor Jorge de Jesús Juárez Parra: </w:t>
      </w:r>
      <w:r w:rsidR="000D2E78">
        <w:rPr>
          <w:rFonts w:ascii="Arial" w:hAnsi="Arial" w:cs="Arial"/>
          <w:bCs/>
          <w:sz w:val="28"/>
          <w:szCs w:val="28"/>
          <w:lang w:val="es-ES"/>
        </w:rPr>
        <w:t xml:space="preserve">Quiero señalar que el día de ayer tuvimos esta plática, este punto que se vio, de los 16 dieciséis, estuvimos 14 catorce presentes, les agradezco a todos su participación </w:t>
      </w:r>
      <w:r w:rsidR="007623B7">
        <w:rPr>
          <w:rFonts w:ascii="Arial" w:hAnsi="Arial" w:cs="Arial"/>
          <w:bCs/>
          <w:sz w:val="28"/>
          <w:szCs w:val="28"/>
          <w:lang w:val="es-ES"/>
        </w:rPr>
        <w:t xml:space="preserve">y que aclaramos las dudas, se tomaron en cuenta situaciones de forma que a lo mejor no se avisaron con anticipación. Muchas gracias, es cuanto. </w:t>
      </w:r>
      <w:r w:rsidR="000D2E78">
        <w:rPr>
          <w:rFonts w:ascii="Arial" w:hAnsi="Arial" w:cs="Arial"/>
          <w:b/>
          <w:bCs/>
          <w:i/>
          <w:sz w:val="28"/>
          <w:szCs w:val="28"/>
          <w:lang w:val="es-ES"/>
        </w:rPr>
        <w:t>C. Secretaria General Claudia Margarita Robles Gómez:</w:t>
      </w:r>
      <w:r w:rsidR="007623B7">
        <w:rPr>
          <w:rFonts w:ascii="Arial" w:hAnsi="Arial" w:cs="Arial"/>
          <w:b/>
          <w:bCs/>
          <w:i/>
          <w:sz w:val="28"/>
          <w:szCs w:val="28"/>
          <w:lang w:val="es-ES"/>
        </w:rPr>
        <w:t xml:space="preserve"> </w:t>
      </w:r>
      <w:r w:rsidR="007623B7">
        <w:rPr>
          <w:rFonts w:ascii="Arial" w:hAnsi="Arial" w:cs="Arial"/>
          <w:bCs/>
          <w:sz w:val="28"/>
          <w:szCs w:val="28"/>
          <w:lang w:val="es-ES"/>
        </w:rPr>
        <w:t>G</w:t>
      </w:r>
      <w:r w:rsidR="00E65888">
        <w:rPr>
          <w:rFonts w:ascii="Arial" w:hAnsi="Arial" w:cs="Arial"/>
          <w:bCs/>
          <w:sz w:val="28"/>
          <w:szCs w:val="28"/>
          <w:lang w:val="es-ES"/>
        </w:rPr>
        <w:t xml:space="preserve">racias Regidor Jorge de Jesús Juárez Parra. </w:t>
      </w:r>
      <w:r w:rsidR="00A87A79">
        <w:rPr>
          <w:rFonts w:ascii="Arial" w:hAnsi="Arial" w:cs="Arial"/>
          <w:bCs/>
          <w:sz w:val="28"/>
          <w:szCs w:val="28"/>
          <w:lang w:val="es-ES"/>
        </w:rPr>
        <w:t xml:space="preserve">Queda a su consideración para alguna manifestación o comentario respecto a esta Iniciativa de Acuerdo… Si no hay ninguna manifestación o comentario respecto de la misma, les pido que quiénes estén a favor de aprobarla en la forma en que fue expuesta, lo manifiesten levantando su mano…. </w:t>
      </w:r>
      <w:r w:rsidR="00A87A79">
        <w:rPr>
          <w:rFonts w:ascii="Arial" w:hAnsi="Arial" w:cs="Arial"/>
          <w:b/>
          <w:bCs/>
          <w:sz w:val="28"/>
          <w:szCs w:val="28"/>
          <w:lang w:val="es-ES"/>
        </w:rPr>
        <w:t xml:space="preserve">16 votos a favor, aprobado por unanimidad. - - - - - - - - - - - - - - - - - - - - - - - - - - - - - - - - - - -  </w:t>
      </w:r>
      <w:r w:rsidR="000D2E78">
        <w:rPr>
          <w:rFonts w:ascii="Arial" w:hAnsi="Arial" w:cs="Arial"/>
          <w:b/>
          <w:bCs/>
          <w:i/>
          <w:sz w:val="28"/>
          <w:szCs w:val="28"/>
          <w:lang w:val="es-ES"/>
        </w:rPr>
        <w:t xml:space="preserve"> </w:t>
      </w:r>
      <w:r w:rsidR="0026433D" w:rsidRPr="0026433D">
        <w:rPr>
          <w:rFonts w:ascii="Arial" w:hAnsi="Arial" w:cs="Arial"/>
          <w:b/>
          <w:sz w:val="28"/>
          <w:szCs w:val="28"/>
          <w:u w:val="single"/>
        </w:rPr>
        <w:t>CUARTO PUNTO</w:t>
      </w:r>
      <w:r w:rsidR="0026433D">
        <w:rPr>
          <w:rFonts w:ascii="Arial" w:hAnsi="Arial" w:cs="Arial"/>
          <w:b/>
          <w:sz w:val="28"/>
          <w:szCs w:val="28"/>
        </w:rPr>
        <w:t xml:space="preserve">: </w:t>
      </w:r>
      <w:r w:rsidR="0026433D" w:rsidRPr="009861FC">
        <w:rPr>
          <w:rFonts w:ascii="Arial" w:hAnsi="Arial" w:cs="Arial"/>
          <w:sz w:val="28"/>
          <w:szCs w:val="28"/>
        </w:rPr>
        <w:t xml:space="preserve">Clausura de La Sesión. - - - - - </w:t>
      </w:r>
      <w:r w:rsidR="0026433D">
        <w:rPr>
          <w:rFonts w:ascii="Arial" w:hAnsi="Arial" w:cs="Arial"/>
          <w:sz w:val="28"/>
          <w:szCs w:val="28"/>
        </w:rPr>
        <w:t xml:space="preserve">- - - - - - - - - </w:t>
      </w:r>
      <w:r w:rsidR="0026433D" w:rsidRPr="009861FC">
        <w:rPr>
          <w:rFonts w:ascii="Arial" w:hAnsi="Arial" w:cs="Arial"/>
          <w:b/>
          <w:i/>
          <w:sz w:val="28"/>
          <w:szCs w:val="28"/>
        </w:rPr>
        <w:t xml:space="preserve">C. Secretaria General Claudia Margarita Robles Gómez: </w:t>
      </w:r>
      <w:r w:rsidR="0026433D" w:rsidRPr="009861FC">
        <w:rPr>
          <w:rFonts w:ascii="Arial" w:hAnsi="Arial" w:cs="Arial"/>
          <w:sz w:val="28"/>
          <w:szCs w:val="28"/>
        </w:rPr>
        <w:lastRenderedPageBreak/>
        <w:t xml:space="preserve">Agotados todos los puntos del orden del día, le pido al Presidente que haga clausura de esta Sesión. </w:t>
      </w:r>
      <w:r w:rsidR="0026433D" w:rsidRPr="009861FC">
        <w:rPr>
          <w:rFonts w:ascii="Arial" w:hAnsi="Arial" w:cs="Arial"/>
          <w:b/>
          <w:i/>
          <w:sz w:val="28"/>
          <w:szCs w:val="28"/>
        </w:rPr>
        <w:t xml:space="preserve">C. Presidente Municipal Alejandro Barragán Sánchez: </w:t>
      </w:r>
      <w:r w:rsidR="0026433D" w:rsidRPr="009861FC">
        <w:rPr>
          <w:rFonts w:ascii="Arial" w:hAnsi="Arial" w:cs="Arial"/>
          <w:sz w:val="28"/>
          <w:szCs w:val="28"/>
        </w:rPr>
        <w:t>Muchas gracias compañeros, grac</w:t>
      </w:r>
      <w:r w:rsidR="00C85ADD">
        <w:rPr>
          <w:rFonts w:ascii="Arial" w:hAnsi="Arial" w:cs="Arial"/>
          <w:sz w:val="28"/>
          <w:szCs w:val="28"/>
        </w:rPr>
        <w:t>ias Secretaria. Siendo las 16:2</w:t>
      </w:r>
      <w:r w:rsidR="0026433D">
        <w:rPr>
          <w:rFonts w:ascii="Arial" w:hAnsi="Arial" w:cs="Arial"/>
          <w:sz w:val="28"/>
          <w:szCs w:val="28"/>
        </w:rPr>
        <w:t>0 hr</w:t>
      </w:r>
      <w:r w:rsidR="00C85ADD">
        <w:rPr>
          <w:rFonts w:ascii="Arial" w:hAnsi="Arial" w:cs="Arial"/>
          <w:sz w:val="28"/>
          <w:szCs w:val="28"/>
        </w:rPr>
        <w:t>s. dieciséis horas, con veinte</w:t>
      </w:r>
      <w:r w:rsidR="0026433D">
        <w:rPr>
          <w:rFonts w:ascii="Arial" w:hAnsi="Arial" w:cs="Arial"/>
          <w:sz w:val="28"/>
          <w:szCs w:val="28"/>
        </w:rPr>
        <w:t xml:space="preserve"> minutos, del día viernes 08 ocho, de Abril del 2022 dos mil veintidós</w:t>
      </w:r>
      <w:r w:rsidR="0026433D" w:rsidRPr="009861FC">
        <w:rPr>
          <w:rFonts w:ascii="Arial" w:hAnsi="Arial" w:cs="Arial"/>
          <w:sz w:val="28"/>
          <w:szCs w:val="28"/>
        </w:rPr>
        <w:t xml:space="preserve">, doy por clausurada esta Sesión </w:t>
      </w:r>
      <w:r w:rsidR="0026433D">
        <w:rPr>
          <w:rFonts w:ascii="Arial" w:hAnsi="Arial" w:cs="Arial"/>
          <w:sz w:val="28"/>
          <w:szCs w:val="28"/>
        </w:rPr>
        <w:t>Extraordinaria de Ayuntamiento No. 16 dieciséis</w:t>
      </w:r>
      <w:r w:rsidR="0026433D" w:rsidRPr="009861FC">
        <w:rPr>
          <w:rFonts w:ascii="Arial" w:hAnsi="Arial" w:cs="Arial"/>
          <w:sz w:val="28"/>
          <w:szCs w:val="28"/>
        </w:rPr>
        <w:t>, y validos los acuerdos que en ella se han tomado. Muchísimas gracias. - -</w:t>
      </w:r>
      <w:r w:rsidR="00C85ADD">
        <w:rPr>
          <w:rFonts w:ascii="Arial" w:hAnsi="Arial" w:cs="Arial"/>
          <w:sz w:val="28"/>
          <w:szCs w:val="28"/>
        </w:rPr>
        <w:t xml:space="preserve"> - - - - - - - - - - - - -</w:t>
      </w:r>
      <w:r w:rsidR="0026433D" w:rsidRPr="009861FC">
        <w:rPr>
          <w:rFonts w:ascii="Arial" w:hAnsi="Arial" w:cs="Arial"/>
          <w:sz w:val="28"/>
          <w:szCs w:val="28"/>
        </w:rPr>
        <w:t xml:space="preserve"> </w:t>
      </w:r>
      <w:r w:rsidR="00C85ADD">
        <w:rPr>
          <w:rFonts w:ascii="Arial" w:hAnsi="Arial" w:cs="Arial"/>
          <w:sz w:val="28"/>
          <w:szCs w:val="28"/>
        </w:rPr>
        <w:t xml:space="preserve">- - - - - - - - - - - - - - - - - - - - - - - - </w:t>
      </w:r>
      <w:bookmarkStart w:id="0" w:name="_GoBack"/>
      <w:bookmarkEnd w:id="0"/>
    </w:p>
    <w:p w:rsidR="0026433D" w:rsidRPr="009861FC" w:rsidRDefault="0026433D" w:rsidP="0026433D">
      <w:pPr>
        <w:spacing w:line="360" w:lineRule="auto"/>
        <w:jc w:val="both"/>
        <w:rPr>
          <w:rFonts w:ascii="Arial" w:hAnsi="Arial" w:cs="Arial"/>
          <w:sz w:val="28"/>
          <w:szCs w:val="28"/>
        </w:rPr>
      </w:pPr>
    </w:p>
    <w:p w:rsidR="0026433D" w:rsidRDefault="0026433D" w:rsidP="0026433D">
      <w:pPr>
        <w:spacing w:line="360" w:lineRule="auto"/>
        <w:jc w:val="both"/>
      </w:pPr>
    </w:p>
    <w:sectPr w:rsidR="0026433D" w:rsidSect="0026433D">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958" w:rsidRDefault="00C70958" w:rsidP="0026433D">
      <w:r>
        <w:separator/>
      </w:r>
    </w:p>
  </w:endnote>
  <w:endnote w:type="continuationSeparator" w:id="0">
    <w:p w:rsidR="00C70958" w:rsidRDefault="00C70958" w:rsidP="0026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33D" w:rsidRPr="00C9324F" w:rsidRDefault="0026433D" w:rsidP="0026433D">
    <w:pPr>
      <w:pStyle w:val="Piedepgina"/>
      <w:jc w:val="center"/>
      <w:rPr>
        <w:i/>
        <w:sz w:val="20"/>
        <w:szCs w:val="20"/>
      </w:rPr>
    </w:pPr>
    <w:r>
      <w:rPr>
        <w:i/>
        <w:sz w:val="20"/>
        <w:szCs w:val="20"/>
      </w:rPr>
      <w:t>Sesión Extraordinaria de Ayuntamiento No. 16, de fecha 08</w:t>
    </w:r>
    <w:r w:rsidRPr="00C9324F">
      <w:rPr>
        <w:i/>
        <w:sz w:val="20"/>
        <w:szCs w:val="20"/>
      </w:rPr>
      <w:t xml:space="preserve"> d</w:t>
    </w:r>
    <w:r>
      <w:rPr>
        <w:i/>
        <w:sz w:val="20"/>
        <w:szCs w:val="20"/>
      </w:rPr>
      <w:t>e Abril del 2022</w:t>
    </w:r>
  </w:p>
  <w:p w:rsidR="0026433D" w:rsidRPr="00C9324F" w:rsidRDefault="0026433D" w:rsidP="0026433D">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C85ADD">
      <w:rPr>
        <w:bCs/>
        <w:i/>
        <w:noProof/>
        <w:sz w:val="20"/>
        <w:szCs w:val="20"/>
      </w:rPr>
      <w:t>15</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C85ADD">
      <w:rPr>
        <w:bCs/>
        <w:i/>
        <w:noProof/>
        <w:sz w:val="20"/>
        <w:szCs w:val="20"/>
      </w:rPr>
      <w:t>15</w:t>
    </w:r>
    <w:r w:rsidRPr="00C9324F">
      <w:rPr>
        <w:bCs/>
        <w:i/>
        <w:sz w:val="20"/>
        <w:szCs w:val="20"/>
      </w:rPr>
      <w:fldChar w:fldCharType="end"/>
    </w:r>
  </w:p>
  <w:p w:rsidR="0026433D" w:rsidRPr="00C9324F" w:rsidRDefault="0026433D" w:rsidP="0026433D">
    <w:pPr>
      <w:pStyle w:val="Piedepgina"/>
      <w:jc w:val="center"/>
      <w:rPr>
        <w:bCs/>
        <w:i/>
        <w:sz w:val="20"/>
        <w:szCs w:val="20"/>
      </w:rPr>
    </w:pPr>
    <w:r w:rsidRPr="00C9324F">
      <w:rPr>
        <w:bCs/>
        <w:i/>
        <w:sz w:val="20"/>
        <w:szCs w:val="20"/>
      </w:rPr>
      <w:t xml:space="preserve">Secretaria </w:t>
    </w:r>
    <w:r>
      <w:rPr>
        <w:bCs/>
        <w:i/>
        <w:sz w:val="20"/>
        <w:szCs w:val="20"/>
      </w:rPr>
      <w:t>General.   Ayuntamiento 2021-2024</w:t>
    </w:r>
  </w:p>
  <w:p w:rsidR="0026433D" w:rsidRPr="00C9324F" w:rsidRDefault="0026433D" w:rsidP="0026433D">
    <w:pPr>
      <w:pStyle w:val="Piedepgina"/>
      <w:jc w:val="right"/>
      <w:rPr>
        <w:bCs/>
        <w:i/>
        <w:sz w:val="20"/>
        <w:szCs w:val="20"/>
      </w:rPr>
    </w:pPr>
    <w:r>
      <w:rPr>
        <w:bCs/>
        <w:i/>
        <w:sz w:val="20"/>
        <w:szCs w:val="20"/>
      </w:rPr>
      <w:t>ABS/CMRG</w:t>
    </w:r>
    <w:r w:rsidRPr="00C9324F">
      <w:rPr>
        <w:bCs/>
        <w:i/>
        <w:sz w:val="20"/>
        <w:szCs w:val="20"/>
      </w:rPr>
      <w:t>/ylp/mlrn</w:t>
    </w:r>
  </w:p>
  <w:p w:rsidR="0026433D" w:rsidRDefault="0026433D" w:rsidP="0026433D">
    <w:pPr>
      <w:pStyle w:val="Piedepgina"/>
      <w:jc w:val="center"/>
      <w:rPr>
        <w:caps/>
        <w:color w:val="5B9BD5" w:themeColor="accent1"/>
      </w:rPr>
    </w:pPr>
  </w:p>
  <w:p w:rsidR="0026433D" w:rsidRDefault="0026433D" w:rsidP="0026433D">
    <w:pPr>
      <w:pStyle w:val="Piedepgina"/>
    </w:pPr>
  </w:p>
  <w:p w:rsidR="0026433D" w:rsidRDefault="0026433D">
    <w:pPr>
      <w:pStyle w:val="Piedepgina"/>
    </w:pPr>
  </w:p>
  <w:p w:rsidR="0026433D" w:rsidRDefault="0026433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958" w:rsidRDefault="00C70958" w:rsidP="0026433D">
      <w:r>
        <w:separator/>
      </w:r>
    </w:p>
  </w:footnote>
  <w:footnote w:type="continuationSeparator" w:id="0">
    <w:p w:rsidR="00C70958" w:rsidRDefault="00C70958" w:rsidP="002643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063431"/>
      <w:docPartObj>
        <w:docPartGallery w:val="Page Numbers (Top of Page)"/>
        <w:docPartUnique/>
      </w:docPartObj>
    </w:sdtPr>
    <w:sdtEndPr/>
    <w:sdtContent>
      <w:p w:rsidR="0026433D" w:rsidRDefault="0026433D">
        <w:pPr>
          <w:pStyle w:val="Encabezado"/>
          <w:jc w:val="right"/>
        </w:pPr>
        <w:r>
          <w:fldChar w:fldCharType="begin"/>
        </w:r>
        <w:r>
          <w:instrText>PAGE   \* MERGEFORMAT</w:instrText>
        </w:r>
        <w:r>
          <w:fldChar w:fldCharType="separate"/>
        </w:r>
        <w:r w:rsidR="00C85ADD" w:rsidRPr="00C85ADD">
          <w:rPr>
            <w:noProof/>
            <w:lang w:val="es-ES"/>
          </w:rPr>
          <w:t>15</w:t>
        </w:r>
        <w:r>
          <w:fldChar w:fldCharType="end"/>
        </w:r>
      </w:p>
    </w:sdtContent>
  </w:sdt>
  <w:p w:rsidR="0026433D" w:rsidRDefault="0026433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3D"/>
    <w:rsid w:val="00027904"/>
    <w:rsid w:val="00096282"/>
    <w:rsid w:val="000D2E78"/>
    <w:rsid w:val="0025589A"/>
    <w:rsid w:val="0026433D"/>
    <w:rsid w:val="00495FA6"/>
    <w:rsid w:val="007623B7"/>
    <w:rsid w:val="009D00FA"/>
    <w:rsid w:val="00A87A79"/>
    <w:rsid w:val="00AE706A"/>
    <w:rsid w:val="00BE1E01"/>
    <w:rsid w:val="00C43F6B"/>
    <w:rsid w:val="00C70958"/>
    <w:rsid w:val="00C85ADD"/>
    <w:rsid w:val="00D3318F"/>
    <w:rsid w:val="00DE6220"/>
    <w:rsid w:val="00E65888"/>
    <w:rsid w:val="00F978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7EC6F"/>
  <w15:chartTrackingRefBased/>
  <w15:docId w15:val="{4654C9E1-25BD-4B2B-A5CC-4923BFF3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33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6433D"/>
    <w:pPr>
      <w:spacing w:before="100" w:beforeAutospacing="1" w:after="100" w:afterAutospacing="1"/>
    </w:pPr>
    <w:rPr>
      <w:lang w:eastAsia="es-MX"/>
    </w:rPr>
  </w:style>
  <w:style w:type="paragraph" w:styleId="Encabezado">
    <w:name w:val="header"/>
    <w:basedOn w:val="Normal"/>
    <w:link w:val="EncabezadoCar"/>
    <w:uiPriority w:val="99"/>
    <w:unhideWhenUsed/>
    <w:rsid w:val="0026433D"/>
    <w:pPr>
      <w:tabs>
        <w:tab w:val="center" w:pos="4419"/>
        <w:tab w:val="right" w:pos="8838"/>
      </w:tabs>
    </w:pPr>
  </w:style>
  <w:style w:type="character" w:customStyle="1" w:styleId="EncabezadoCar">
    <w:name w:val="Encabezado Car"/>
    <w:basedOn w:val="Fuentedeprrafopredeter"/>
    <w:link w:val="Encabezado"/>
    <w:uiPriority w:val="99"/>
    <w:rsid w:val="0026433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6433D"/>
    <w:pPr>
      <w:tabs>
        <w:tab w:val="center" w:pos="4419"/>
        <w:tab w:val="right" w:pos="8838"/>
      </w:tabs>
    </w:pPr>
  </w:style>
  <w:style w:type="character" w:customStyle="1" w:styleId="PiedepginaCar">
    <w:name w:val="Pie de página Car"/>
    <w:basedOn w:val="Fuentedeprrafopredeter"/>
    <w:link w:val="Piedepgina"/>
    <w:uiPriority w:val="99"/>
    <w:rsid w:val="0026433D"/>
    <w:rPr>
      <w:rFonts w:ascii="Times New Roman" w:eastAsia="Times New Roman" w:hAnsi="Times New Roman" w:cs="Times New Roman"/>
      <w:sz w:val="24"/>
      <w:szCs w:val="24"/>
      <w:lang w:eastAsia="es-ES"/>
    </w:rPr>
  </w:style>
  <w:style w:type="paragraph" w:styleId="Textosinformato">
    <w:name w:val="Plain Text"/>
    <w:basedOn w:val="Normal"/>
    <w:link w:val="TextosinformatoCar"/>
    <w:unhideWhenUsed/>
    <w:rsid w:val="0025589A"/>
    <w:rPr>
      <w:rFonts w:ascii="Courier New" w:hAnsi="Courier New" w:cs="Courier New"/>
      <w:sz w:val="20"/>
      <w:szCs w:val="20"/>
      <w:lang w:val="es-ES"/>
    </w:rPr>
  </w:style>
  <w:style w:type="character" w:customStyle="1" w:styleId="TextosinformatoCar">
    <w:name w:val="Texto sin formato Car"/>
    <w:basedOn w:val="Fuentedeprrafopredeter"/>
    <w:link w:val="Textosinformato"/>
    <w:rsid w:val="0025589A"/>
    <w:rPr>
      <w:rFonts w:ascii="Courier New" w:eastAsia="Times New Roman" w:hAnsi="Courier New" w:cs="Courier New"/>
      <w:sz w:val="20"/>
      <w:szCs w:val="20"/>
      <w:lang w:val="es-ES" w:eastAsia="es-ES"/>
    </w:rPr>
  </w:style>
  <w:style w:type="paragraph" w:styleId="Sinespaciado">
    <w:name w:val="No Spacing"/>
    <w:uiPriority w:val="1"/>
    <w:qFormat/>
    <w:rsid w:val="0025589A"/>
    <w:pPr>
      <w:spacing w:after="0" w:line="240" w:lineRule="auto"/>
    </w:pPr>
  </w:style>
  <w:style w:type="character" w:customStyle="1" w:styleId="EstiloCar">
    <w:name w:val="Estilo Car"/>
    <w:link w:val="Estilo"/>
    <w:locked/>
    <w:rsid w:val="0025589A"/>
    <w:rPr>
      <w:rFonts w:ascii="Arial" w:eastAsia="Calibri" w:hAnsi="Arial" w:cs="Arial"/>
      <w:sz w:val="24"/>
      <w:szCs w:val="24"/>
    </w:rPr>
  </w:style>
  <w:style w:type="paragraph" w:customStyle="1" w:styleId="Estilo">
    <w:name w:val="Estilo"/>
    <w:basedOn w:val="Normal"/>
    <w:link w:val="EstiloCar"/>
    <w:qFormat/>
    <w:rsid w:val="0025589A"/>
    <w:pPr>
      <w:jc w:val="both"/>
    </w:pPr>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49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15</Pages>
  <Words>3793</Words>
  <Characters>20866</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Yessica Linares Ponce</cp:lastModifiedBy>
  <cp:revision>12</cp:revision>
  <dcterms:created xsi:type="dcterms:W3CDTF">2022-04-12T13:22:00Z</dcterms:created>
  <dcterms:modified xsi:type="dcterms:W3CDTF">2022-04-12T16:04:00Z</dcterms:modified>
</cp:coreProperties>
</file>