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0A43283A" w14:textId="517DEAF3"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DA22BE">
        <w:rPr>
          <w:rFonts w:ascii="Arial" w:eastAsia="Arial" w:hAnsi="Arial" w:cs="Arial"/>
          <w:b/>
          <w:sz w:val="24"/>
          <w:szCs w:val="24"/>
        </w:rPr>
        <w:t>16</w:t>
      </w:r>
      <w:r w:rsidR="006A2F39">
        <w:rPr>
          <w:rFonts w:ascii="Arial" w:eastAsia="Arial" w:hAnsi="Arial" w:cs="Arial"/>
          <w:b/>
          <w:sz w:val="24"/>
          <w:szCs w:val="24"/>
        </w:rPr>
        <w:t xml:space="preserve"> </w:t>
      </w:r>
      <w:r w:rsidRPr="000C6356">
        <w:rPr>
          <w:rFonts w:ascii="Arial" w:eastAsia="Arial" w:hAnsi="Arial" w:cs="Arial"/>
          <w:b/>
          <w:sz w:val="24"/>
          <w:szCs w:val="24"/>
        </w:rPr>
        <w:t>DIE</w:t>
      </w:r>
      <w:r w:rsidR="006A2F39">
        <w:rPr>
          <w:rFonts w:ascii="Arial" w:eastAsia="Arial" w:hAnsi="Arial" w:cs="Arial"/>
          <w:b/>
          <w:sz w:val="24"/>
          <w:szCs w:val="24"/>
        </w:rPr>
        <w:t>CI</w:t>
      </w:r>
      <w:r w:rsidR="00DA22BE">
        <w:rPr>
          <w:rFonts w:ascii="Arial" w:eastAsia="Arial" w:hAnsi="Arial" w:cs="Arial"/>
          <w:b/>
          <w:sz w:val="24"/>
          <w:szCs w:val="24"/>
        </w:rPr>
        <w:t>SEIS</w:t>
      </w:r>
      <w:r w:rsidRPr="000C6356">
        <w:rPr>
          <w:rFonts w:ascii="Arial" w:eastAsia="Arial" w:hAnsi="Arial" w:cs="Arial"/>
          <w:b/>
          <w:sz w:val="24"/>
          <w:szCs w:val="24"/>
        </w:rPr>
        <w:t xml:space="preserve"> DE </w:t>
      </w:r>
      <w:r w:rsidR="00DA22BE">
        <w:rPr>
          <w:rFonts w:ascii="Arial" w:eastAsia="Arial" w:hAnsi="Arial" w:cs="Arial"/>
          <w:b/>
          <w:sz w:val="24"/>
          <w:szCs w:val="24"/>
        </w:rPr>
        <w:t>ENERO</w:t>
      </w:r>
      <w:r w:rsidRPr="000C6356">
        <w:rPr>
          <w:rFonts w:ascii="Arial" w:eastAsia="Arial" w:hAnsi="Arial" w:cs="Arial"/>
          <w:b/>
          <w:sz w:val="24"/>
          <w:szCs w:val="24"/>
        </w:rPr>
        <w:t xml:space="preserve"> DEL 202</w:t>
      </w:r>
      <w:r w:rsidR="00DA22BE">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DA22BE">
        <w:rPr>
          <w:rFonts w:ascii="Arial" w:eastAsia="Times New Roman" w:hAnsi="Arial" w:cs="Arial"/>
          <w:b/>
          <w:color w:val="000000"/>
          <w:sz w:val="24"/>
          <w:szCs w:val="24"/>
          <w:lang w:eastAsia="es-MX"/>
        </w:rPr>
        <w:t>1</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DA22BE">
        <w:rPr>
          <w:rFonts w:ascii="Arial" w:eastAsia="Times New Roman" w:hAnsi="Arial" w:cs="Arial"/>
          <w:b/>
          <w:bCs/>
          <w:sz w:val="24"/>
          <w:szCs w:val="24"/>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4D6B0054" w14:textId="77777777" w:rsidR="00E14A6B" w:rsidRDefault="00E14A6B" w:rsidP="00E14A6B">
      <w:pPr>
        <w:pStyle w:val="Prrafodelista"/>
        <w:spacing w:after="0" w:line="240" w:lineRule="auto"/>
        <w:ind w:left="0"/>
        <w:jc w:val="both"/>
        <w:rPr>
          <w:rFonts w:ascii="Arial" w:eastAsia="Arial" w:hAnsi="Arial" w:cs="Arial"/>
          <w:b/>
          <w:sz w:val="24"/>
          <w:szCs w:val="24"/>
        </w:rPr>
      </w:pP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01F07796"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Ordinaria de Ayuntamiento número </w:t>
      </w:r>
      <w:r w:rsidR="00DA22BE" w:rsidRPr="00C6575E">
        <w:rPr>
          <w:rFonts w:ascii="Arial" w:hAnsi="Arial" w:cs="Arial"/>
          <w:color w:val="000000"/>
          <w:sz w:val="24"/>
          <w:szCs w:val="24"/>
        </w:rPr>
        <w:t>46</w:t>
      </w:r>
      <w:r w:rsidRPr="00C6575E">
        <w:rPr>
          <w:rFonts w:ascii="Arial" w:hAnsi="Arial" w:cs="Arial"/>
          <w:color w:val="000000"/>
          <w:sz w:val="24"/>
          <w:szCs w:val="24"/>
        </w:rPr>
        <w:t xml:space="preserve">, celebrada el día </w:t>
      </w:r>
      <w:r w:rsidR="00DA22BE" w:rsidRPr="00C6575E">
        <w:rPr>
          <w:rFonts w:ascii="Arial" w:hAnsi="Arial" w:cs="Arial"/>
          <w:color w:val="000000"/>
          <w:sz w:val="24"/>
          <w:szCs w:val="24"/>
        </w:rPr>
        <w:t>12</w:t>
      </w:r>
      <w:r w:rsidRPr="00C6575E">
        <w:rPr>
          <w:rFonts w:ascii="Arial" w:hAnsi="Arial" w:cs="Arial"/>
          <w:color w:val="000000"/>
          <w:sz w:val="24"/>
          <w:szCs w:val="24"/>
        </w:rPr>
        <w:t xml:space="preserve"> </w:t>
      </w:r>
      <w:r w:rsidR="00DA22BE" w:rsidRPr="00C6575E">
        <w:rPr>
          <w:rFonts w:ascii="Arial" w:hAnsi="Arial" w:cs="Arial"/>
          <w:color w:val="000000"/>
          <w:sz w:val="24"/>
          <w:szCs w:val="24"/>
        </w:rPr>
        <w:t>doce</w:t>
      </w:r>
      <w:r w:rsidR="006A2F39" w:rsidRPr="00C6575E">
        <w:rPr>
          <w:rFonts w:ascii="Arial" w:hAnsi="Arial" w:cs="Arial"/>
          <w:color w:val="000000"/>
          <w:sz w:val="24"/>
          <w:szCs w:val="24"/>
        </w:rPr>
        <w:t xml:space="preserve"> </w:t>
      </w:r>
      <w:r w:rsidRPr="00C6575E">
        <w:rPr>
          <w:rFonts w:ascii="Arial" w:hAnsi="Arial" w:cs="Arial"/>
          <w:color w:val="000000"/>
          <w:sz w:val="24"/>
          <w:szCs w:val="24"/>
        </w:rPr>
        <w:t xml:space="preserve">de </w:t>
      </w:r>
      <w:r w:rsidR="00DA22BE" w:rsidRPr="00C6575E">
        <w:rPr>
          <w:rFonts w:ascii="Arial" w:hAnsi="Arial" w:cs="Arial"/>
          <w:color w:val="000000"/>
          <w:sz w:val="24"/>
          <w:szCs w:val="24"/>
        </w:rPr>
        <w:t>enero</w:t>
      </w:r>
      <w:r w:rsidRPr="00C6575E">
        <w:rPr>
          <w:rFonts w:ascii="Arial" w:hAnsi="Arial" w:cs="Arial"/>
          <w:color w:val="000000"/>
          <w:sz w:val="24"/>
          <w:szCs w:val="24"/>
        </w:rPr>
        <w:t xml:space="preserve"> del 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DA22BE" w:rsidRPr="00C6575E">
        <w:rPr>
          <w:rFonts w:ascii="Arial" w:hAnsi="Arial" w:cs="Arial"/>
          <w:color w:val="000000"/>
          <w:sz w:val="24"/>
          <w:szCs w:val="24"/>
        </w:rPr>
        <w:t>09</w:t>
      </w:r>
      <w:r w:rsidRPr="00C6575E">
        <w:rPr>
          <w:rFonts w:ascii="Arial" w:hAnsi="Arial" w:cs="Arial"/>
          <w:color w:val="000000"/>
          <w:sz w:val="24"/>
          <w:szCs w:val="24"/>
        </w:rPr>
        <w:t xml:space="preserve"> del Orden del día, el</w:t>
      </w:r>
      <w:r w:rsidRPr="00DA22BE">
        <w:rPr>
          <w:rFonts w:ascii="Arial" w:hAnsi="Arial" w:cs="Arial"/>
          <w:color w:val="000000"/>
        </w:rPr>
        <w:t xml:space="preserve"> “</w:t>
      </w:r>
      <w:r w:rsidRPr="00DA22BE">
        <w:rPr>
          <w:rStyle w:val="Ninguno"/>
          <w:rFonts w:ascii="Arial" w:hAnsi="Arial"/>
          <w:b/>
          <w:bCs/>
          <w:lang w:val="es-ES"/>
        </w:rPr>
        <w:t xml:space="preserve">DICTAMEN </w:t>
      </w:r>
      <w:r w:rsidRPr="00DA22BE">
        <w:rPr>
          <w:rStyle w:val="Ninguno"/>
          <w:rFonts w:ascii="Arial" w:hAnsi="Arial"/>
          <w:b/>
          <w:lang w:val="es-ES"/>
        </w:rPr>
        <w:t xml:space="preserve">DE LA COMISIÓN EDILICIA PERMANENTE DE OBRAS PÚBLICAS, PLANEACIÓN URBANA Y REGULARIZACIÓN DE LA TENENCIA DE LA TIERRA, </w:t>
      </w:r>
      <w:r w:rsidRPr="00DA22BE">
        <w:rPr>
          <w:rStyle w:val="Ninguno"/>
          <w:rFonts w:ascii="Arial" w:hAnsi="Arial"/>
          <w:b/>
          <w:bCs/>
          <w:lang w:val="es-ES"/>
        </w:rPr>
        <w:t xml:space="preserve">QUE APRUEBA </w:t>
      </w:r>
      <w:r w:rsidR="006A2F39" w:rsidRPr="00DA22BE">
        <w:rPr>
          <w:rStyle w:val="Ninguno"/>
          <w:rFonts w:ascii="Arial" w:hAnsi="Arial"/>
          <w:b/>
          <w:bCs/>
          <w:lang w:val="es-ES"/>
        </w:rPr>
        <w:t>EL</w:t>
      </w:r>
      <w:r w:rsidRPr="00DA22BE">
        <w:rPr>
          <w:rStyle w:val="Ninguno"/>
          <w:rFonts w:ascii="Arial" w:hAnsi="Arial"/>
          <w:b/>
          <w:bCs/>
          <w:lang w:val="es-ES"/>
        </w:rPr>
        <w:t xml:space="preserve"> TECHO</w:t>
      </w:r>
      <w:r w:rsidR="00DA22BE" w:rsidRPr="00DA22BE">
        <w:rPr>
          <w:rStyle w:val="Ninguno"/>
          <w:rFonts w:ascii="Arial" w:hAnsi="Arial"/>
          <w:b/>
          <w:bCs/>
          <w:lang w:val="es-ES"/>
        </w:rPr>
        <w:t xml:space="preserve"> </w:t>
      </w:r>
      <w:r w:rsidRPr="00DA22BE">
        <w:rPr>
          <w:rStyle w:val="Ninguno"/>
          <w:rFonts w:ascii="Arial" w:hAnsi="Arial"/>
          <w:b/>
          <w:bCs/>
          <w:lang w:val="es-ES"/>
        </w:rPr>
        <w:t>FINANCIERO DE LA OBRA PUBLICA NÚMERO:</w:t>
      </w:r>
      <w:r w:rsidRPr="00DA22BE">
        <w:rPr>
          <w:rStyle w:val="Ninguno"/>
          <w:rFonts w:ascii="Arial" w:hAnsi="Arial"/>
          <w:bCs/>
          <w:lang w:val="es-ES"/>
        </w:rPr>
        <w:t xml:space="preserve"> </w:t>
      </w:r>
      <w:r w:rsidRPr="00DA22BE">
        <w:rPr>
          <w:rStyle w:val="Ninguno"/>
          <w:rFonts w:ascii="Arial" w:hAnsi="Arial"/>
          <w:b/>
          <w:bCs/>
          <w:lang w:val="es-ES"/>
        </w:rPr>
        <w:t>FORTA-00</w:t>
      </w:r>
      <w:r w:rsidR="00DA22BE" w:rsidRPr="00DA22BE">
        <w:rPr>
          <w:rStyle w:val="Ninguno"/>
          <w:rFonts w:ascii="Arial" w:hAnsi="Arial"/>
          <w:b/>
          <w:bCs/>
          <w:lang w:val="es-ES"/>
        </w:rPr>
        <w:t>1</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DA22BE" w:rsidRPr="00DA22BE">
        <w:rPr>
          <w:rFonts w:ascii="Arial" w:eastAsia="Times New Roman" w:hAnsi="Arial" w:cs="Arial"/>
          <w:b/>
          <w:bCs/>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DA22BE">
        <w:rPr>
          <w:rFonts w:ascii="Arial" w:eastAsia="Times New Roman" w:hAnsi="Arial" w:cs="Arial"/>
          <w:b/>
          <w:lang w:eastAsia="es-MX"/>
        </w:rPr>
        <w:t>3</w:t>
      </w:r>
      <w:r w:rsidR="006A2F39" w:rsidRPr="00DA22BE">
        <w:rPr>
          <w:rFonts w:ascii="Arial" w:eastAsia="Times New Roman" w:hAnsi="Arial" w:cs="Arial"/>
          <w:b/>
          <w:lang w:eastAsia="es-MX"/>
        </w:rPr>
        <w:t>,2</w:t>
      </w:r>
      <w:r w:rsidR="00DA22BE">
        <w:rPr>
          <w:rFonts w:ascii="Arial" w:eastAsia="Times New Roman" w:hAnsi="Arial" w:cs="Arial"/>
          <w:b/>
          <w:lang w:eastAsia="es-MX"/>
        </w:rPr>
        <w:t>41</w:t>
      </w:r>
      <w:r w:rsidR="006A2F39" w:rsidRPr="00DA22BE">
        <w:rPr>
          <w:rFonts w:ascii="Arial" w:eastAsia="Times New Roman" w:hAnsi="Arial" w:cs="Arial"/>
          <w:b/>
          <w:lang w:eastAsia="es-MX"/>
        </w:rPr>
        <w:t>,</w:t>
      </w:r>
      <w:r w:rsidR="00DA22BE">
        <w:rPr>
          <w:rFonts w:ascii="Arial" w:eastAsia="Times New Roman" w:hAnsi="Arial" w:cs="Arial"/>
          <w:b/>
          <w:lang w:eastAsia="es-MX"/>
        </w:rPr>
        <w:t>620</w:t>
      </w:r>
      <w:r w:rsidR="006A2F39" w:rsidRPr="00DA22BE">
        <w:rPr>
          <w:rFonts w:ascii="Arial" w:eastAsia="Times New Roman" w:hAnsi="Arial" w:cs="Arial"/>
          <w:b/>
          <w:lang w:eastAsia="es-MX"/>
        </w:rPr>
        <w:t>.</w:t>
      </w:r>
      <w:r w:rsidR="00DA22BE">
        <w:rPr>
          <w:rFonts w:ascii="Arial" w:eastAsia="Times New Roman" w:hAnsi="Arial" w:cs="Arial"/>
          <w:b/>
          <w:lang w:eastAsia="es-MX"/>
        </w:rPr>
        <w:t>36</w:t>
      </w:r>
      <w:r w:rsidR="006A2F39" w:rsidRPr="00DA22BE">
        <w:rPr>
          <w:rFonts w:ascii="Arial" w:eastAsia="Times New Roman" w:hAnsi="Arial" w:cs="Arial"/>
          <w:b/>
          <w:lang w:eastAsia="es-MX"/>
        </w:rPr>
        <w:t>(</w:t>
      </w:r>
      <w:r w:rsidR="0093281A">
        <w:rPr>
          <w:rFonts w:ascii="Arial" w:eastAsia="Times New Roman" w:hAnsi="Arial" w:cs="Arial"/>
          <w:b/>
          <w:lang w:eastAsia="es-MX"/>
        </w:rPr>
        <w:t>Tres</w:t>
      </w:r>
      <w:r w:rsidR="006A2F39" w:rsidRPr="00DA22BE">
        <w:rPr>
          <w:rFonts w:ascii="Arial" w:eastAsia="Times New Roman" w:hAnsi="Arial" w:cs="Arial"/>
          <w:b/>
          <w:lang w:eastAsia="es-MX"/>
        </w:rPr>
        <w:t xml:space="preserve"> Millones Doscientos </w:t>
      </w:r>
      <w:r w:rsidR="0093281A">
        <w:rPr>
          <w:rFonts w:ascii="Arial" w:eastAsia="Times New Roman" w:hAnsi="Arial" w:cs="Arial"/>
          <w:b/>
          <w:lang w:eastAsia="es-MX"/>
        </w:rPr>
        <w:t>Cuarenta y Un</w:t>
      </w:r>
      <w:r w:rsidR="006A2F39" w:rsidRPr="00DA22BE">
        <w:rPr>
          <w:rFonts w:ascii="Arial" w:eastAsia="Times New Roman" w:hAnsi="Arial" w:cs="Arial"/>
          <w:b/>
          <w:lang w:eastAsia="es-MX"/>
        </w:rPr>
        <w:t xml:space="preserve"> Mil </w:t>
      </w:r>
      <w:r w:rsidR="0093281A">
        <w:rPr>
          <w:rFonts w:ascii="Arial" w:eastAsia="Times New Roman" w:hAnsi="Arial" w:cs="Arial"/>
          <w:b/>
          <w:lang w:eastAsia="es-MX"/>
        </w:rPr>
        <w:t>Seiscientos Veinte</w:t>
      </w:r>
      <w:r w:rsidR="006A2F39" w:rsidRPr="00DA22BE">
        <w:rPr>
          <w:rFonts w:ascii="Arial" w:eastAsia="Times New Roman" w:hAnsi="Arial" w:cs="Arial"/>
          <w:b/>
          <w:lang w:eastAsia="es-MX"/>
        </w:rPr>
        <w:t xml:space="preserve"> pesos</w:t>
      </w:r>
      <w:r w:rsidR="006A2F39" w:rsidRPr="00DA22BE">
        <w:rPr>
          <w:rFonts w:ascii="Arial" w:eastAsia="Times New Roman" w:hAnsi="Arial" w:cs="Arial"/>
          <w:b/>
          <w:bCs/>
          <w:lang w:eastAsia="es-MX"/>
        </w:rPr>
        <w:t xml:space="preserve"> </w:t>
      </w:r>
      <w:r w:rsidR="0093281A">
        <w:rPr>
          <w:rFonts w:ascii="Arial" w:eastAsia="Times New Roman" w:hAnsi="Arial" w:cs="Arial"/>
          <w:b/>
          <w:bCs/>
          <w:lang w:eastAsia="es-MX"/>
        </w:rPr>
        <w:t>36</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7777777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correspondiente a cada una de las Obras Públicas antes referidas 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14:paraId="04AC38E9" w14:textId="547266F2"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5313EC">
        <w:rPr>
          <w:rFonts w:ascii="Arial" w:hAnsi="Arial" w:cs="Arial"/>
          <w:color w:val="000000"/>
          <w:sz w:val="24"/>
          <w:szCs w:val="24"/>
        </w:rPr>
        <w:t>1</w:t>
      </w:r>
      <w:r w:rsidR="00421AB1">
        <w:rPr>
          <w:rFonts w:ascii="Arial" w:hAnsi="Arial" w:cs="Arial"/>
          <w:color w:val="000000"/>
          <w:sz w:val="24"/>
          <w:szCs w:val="24"/>
        </w:rPr>
        <w:t>4</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6A2F39">
        <w:rPr>
          <w:rFonts w:ascii="Arial" w:hAnsi="Arial" w:cs="Arial"/>
          <w:color w:val="000000"/>
          <w:sz w:val="24"/>
          <w:szCs w:val="24"/>
        </w:rPr>
        <w:t>1</w:t>
      </w:r>
      <w:r w:rsidR="005313EC">
        <w:rPr>
          <w:rFonts w:ascii="Arial" w:hAnsi="Arial" w:cs="Arial"/>
          <w:color w:val="000000"/>
          <w:sz w:val="24"/>
          <w:szCs w:val="24"/>
        </w:rPr>
        <w:t>6</w:t>
      </w:r>
      <w:r>
        <w:rPr>
          <w:rFonts w:ascii="Arial" w:hAnsi="Arial" w:cs="Arial"/>
          <w:color w:val="000000"/>
          <w:sz w:val="24"/>
          <w:szCs w:val="24"/>
        </w:rPr>
        <w:t xml:space="preserve"> </w:t>
      </w:r>
      <w:r w:rsidR="002139A2">
        <w:rPr>
          <w:rFonts w:ascii="Arial" w:hAnsi="Arial" w:cs="Arial"/>
          <w:color w:val="000000"/>
          <w:sz w:val="24"/>
          <w:szCs w:val="24"/>
        </w:rPr>
        <w:t>dieciséis</w:t>
      </w:r>
      <w:r>
        <w:rPr>
          <w:rFonts w:ascii="Arial" w:hAnsi="Arial" w:cs="Arial"/>
          <w:color w:val="000000"/>
          <w:sz w:val="24"/>
          <w:szCs w:val="24"/>
        </w:rPr>
        <w:t xml:space="preserve"> de </w:t>
      </w:r>
      <w:r w:rsidR="005313EC">
        <w:rPr>
          <w:rFonts w:ascii="Arial" w:hAnsi="Arial" w:cs="Arial"/>
          <w:color w:val="000000"/>
          <w:sz w:val="24"/>
          <w:szCs w:val="24"/>
        </w:rPr>
        <w:t xml:space="preserve">enero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54FE4179" w:rsidR="00512F25" w:rsidRPr="00D14CBA" w:rsidRDefault="005313EC"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ARQ. FRANCISCO VAZQUEZ CORTES</w:t>
            </w:r>
          </w:p>
        </w:tc>
        <w:tc>
          <w:tcPr>
            <w:tcW w:w="2410" w:type="dxa"/>
          </w:tcPr>
          <w:p w14:paraId="4B30D594" w14:textId="7F4C9BC7" w:rsidR="00512F25" w:rsidRDefault="005313EC"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9</w:t>
            </w:r>
          </w:p>
        </w:tc>
      </w:tr>
      <w:tr w:rsidR="00512F25" w14:paraId="24907A2B" w14:textId="77777777" w:rsidTr="00D958A1">
        <w:tc>
          <w:tcPr>
            <w:tcW w:w="7372" w:type="dxa"/>
          </w:tcPr>
          <w:p w14:paraId="2B4096D4" w14:textId="17DC7022" w:rsidR="00512F25" w:rsidRPr="00D14CBA" w:rsidRDefault="005313EC"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DISEÑO Y CONSTRUCCIÓN DE ZAPOTLÁN S.A. DE C.V.</w:t>
            </w:r>
            <w:r w:rsidR="00512F25" w:rsidRPr="00D14CBA">
              <w:rPr>
                <w:rFonts w:ascii="Arial" w:eastAsia="Calibri" w:hAnsi="Arial" w:cs="Arial"/>
                <w:lang w:val="es-ES_tradnl"/>
              </w:rPr>
              <w:t xml:space="preserve">  </w:t>
            </w:r>
          </w:p>
        </w:tc>
        <w:tc>
          <w:tcPr>
            <w:tcW w:w="2410" w:type="dxa"/>
          </w:tcPr>
          <w:p w14:paraId="67E703FA" w14:textId="3AB930AE" w:rsidR="00512F25" w:rsidRDefault="005313EC"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28</w:t>
            </w:r>
          </w:p>
        </w:tc>
      </w:tr>
      <w:tr w:rsidR="00512F25" w14:paraId="68E7ABFB" w14:textId="77777777" w:rsidTr="00D958A1">
        <w:tc>
          <w:tcPr>
            <w:tcW w:w="7372" w:type="dxa"/>
          </w:tcPr>
          <w:p w14:paraId="55AB901F" w14:textId="6317D7E3" w:rsidR="00512F25" w:rsidRPr="00FF3326" w:rsidRDefault="00FF3326" w:rsidP="00D958A1">
            <w:pPr>
              <w:pStyle w:val="Prrafodelista"/>
              <w:spacing w:after="0" w:line="240" w:lineRule="auto"/>
              <w:ind w:left="0"/>
              <w:jc w:val="both"/>
              <w:rPr>
                <w:rFonts w:ascii="Arial" w:eastAsia="Calibri" w:hAnsi="Arial" w:cs="Arial"/>
              </w:rPr>
            </w:pPr>
            <w:r w:rsidRPr="00FF3326">
              <w:rPr>
                <w:rFonts w:ascii="Arial" w:eastAsia="Calibri" w:hAnsi="Arial" w:cs="Arial"/>
              </w:rPr>
              <w:t>CONSTRUCTORA NOBOYASA, S.A. DE C.</w:t>
            </w:r>
            <w:r>
              <w:rPr>
                <w:rFonts w:ascii="Arial" w:eastAsia="Calibri" w:hAnsi="Arial" w:cs="Arial"/>
              </w:rPr>
              <w:t>V.</w:t>
            </w:r>
            <w:r w:rsidR="00512F25" w:rsidRPr="00FF3326">
              <w:rPr>
                <w:rFonts w:ascii="Arial" w:eastAsia="Calibri" w:hAnsi="Arial" w:cs="Arial"/>
              </w:rPr>
              <w:t xml:space="preserve"> </w:t>
            </w:r>
          </w:p>
        </w:tc>
        <w:tc>
          <w:tcPr>
            <w:tcW w:w="2410" w:type="dxa"/>
          </w:tcPr>
          <w:p w14:paraId="31C4E08F" w14:textId="581FD43D" w:rsidR="00512F25" w:rsidRDefault="00FF3326"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34</w:t>
            </w:r>
          </w:p>
        </w:tc>
      </w:tr>
      <w:tr w:rsidR="00512F25" w14:paraId="59F8DDE6" w14:textId="77777777" w:rsidTr="00D958A1">
        <w:tc>
          <w:tcPr>
            <w:tcW w:w="7372" w:type="dxa"/>
          </w:tcPr>
          <w:p w14:paraId="1ABDBAD1" w14:textId="594DE76E" w:rsidR="00512F25" w:rsidRPr="00D14CBA" w:rsidRDefault="00FF3326"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INGENIERO SIAMIR YOSAM CARDENAS DEL TORO </w:t>
            </w:r>
            <w:r w:rsidR="00512F25" w:rsidRPr="00D14CBA">
              <w:rPr>
                <w:rFonts w:ascii="Arial" w:eastAsia="Calibri" w:hAnsi="Arial" w:cs="Arial"/>
                <w:lang w:val="es-ES_tradnl"/>
              </w:rPr>
              <w:t xml:space="preserve">  </w:t>
            </w:r>
          </w:p>
        </w:tc>
        <w:tc>
          <w:tcPr>
            <w:tcW w:w="2410" w:type="dxa"/>
          </w:tcPr>
          <w:p w14:paraId="7BB49659" w14:textId="7002CA75" w:rsidR="00512F25" w:rsidRDefault="00FF3326"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103</w:t>
            </w:r>
          </w:p>
        </w:tc>
      </w:tr>
      <w:tr w:rsidR="00512F25" w14:paraId="3342939F" w14:textId="77777777" w:rsidTr="00D958A1">
        <w:tc>
          <w:tcPr>
            <w:tcW w:w="7372" w:type="dxa"/>
          </w:tcPr>
          <w:p w14:paraId="3B65AD47" w14:textId="32A6CDC0" w:rsidR="00512F25" w:rsidRPr="00D14CBA" w:rsidRDefault="00FF3326"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LP PUENTES Y CARRETERAS DE OCCIDENTE, S.A. DE C.V.</w:t>
            </w:r>
            <w:r w:rsidR="00512F25" w:rsidRPr="00D14CBA">
              <w:rPr>
                <w:rFonts w:ascii="Arial" w:eastAsia="Calibri" w:hAnsi="Arial" w:cs="Arial"/>
                <w:lang w:val="es-ES_tradnl"/>
              </w:rPr>
              <w:t xml:space="preserve"> </w:t>
            </w:r>
          </w:p>
        </w:tc>
        <w:tc>
          <w:tcPr>
            <w:tcW w:w="2410" w:type="dxa"/>
          </w:tcPr>
          <w:p w14:paraId="46B545C6" w14:textId="120D2EE6"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w:t>
            </w:r>
            <w:r w:rsidR="00FF3326">
              <w:rPr>
                <w:rFonts w:ascii="Arial" w:eastAsia="Calibri" w:hAnsi="Arial" w:cs="Arial"/>
                <w:sz w:val="28"/>
                <w:szCs w:val="28"/>
                <w:lang w:val="es-ES_tradnl"/>
              </w:rPr>
              <w:t>18</w:t>
            </w:r>
          </w:p>
        </w:tc>
      </w:tr>
    </w:tbl>
    <w:p w14:paraId="64C24D85" w14:textId="77777777" w:rsidR="00EB33BC" w:rsidRDefault="00EB33BC" w:rsidP="00D40449">
      <w:pPr>
        <w:jc w:val="both"/>
        <w:rPr>
          <w:rFonts w:ascii="Arial" w:hAnsi="Arial" w:cs="Arial"/>
          <w:b/>
          <w:bCs/>
          <w:sz w:val="24"/>
          <w:szCs w:val="24"/>
          <w:lang w:val="es-ES"/>
        </w:rPr>
      </w:pPr>
    </w:p>
    <w:p w14:paraId="0D24DED5" w14:textId="539775DB"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206645">
        <w:rPr>
          <w:rFonts w:ascii="Arial" w:eastAsia="Calibri" w:hAnsi="Arial" w:cs="Arial"/>
          <w:b/>
          <w:sz w:val="24"/>
          <w:szCs w:val="24"/>
        </w:rPr>
        <w:t>009</w:t>
      </w:r>
      <w:r w:rsidRPr="00C05C6E">
        <w:rPr>
          <w:rFonts w:ascii="Arial" w:eastAsia="Calibri" w:hAnsi="Arial" w:cs="Arial"/>
          <w:b/>
          <w:sz w:val="24"/>
          <w:szCs w:val="24"/>
        </w:rPr>
        <w:t>/DGGC/202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206645">
        <w:rPr>
          <w:rFonts w:ascii="Arial" w:eastAsia="Calibri" w:hAnsi="Arial" w:cs="Arial"/>
          <w:sz w:val="24"/>
          <w:szCs w:val="24"/>
        </w:rPr>
        <w:t xml:space="preserve">con fecha de recepción en oficina de presidencia el día 17 de enero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7C7739">
        <w:rPr>
          <w:rFonts w:ascii="Arial" w:eastAsia="Calibri" w:hAnsi="Arial" w:cs="Arial"/>
          <w:sz w:val="24"/>
          <w:szCs w:val="24"/>
        </w:rPr>
        <w:t xml:space="preserve">23 </w:t>
      </w:r>
      <w:r w:rsidRPr="00C05C6E">
        <w:rPr>
          <w:rFonts w:ascii="Arial" w:eastAsia="Calibri" w:hAnsi="Arial" w:cs="Arial"/>
          <w:sz w:val="24"/>
          <w:szCs w:val="24"/>
        </w:rPr>
        <w:t xml:space="preserve"> de </w:t>
      </w:r>
      <w:r w:rsidR="00206645">
        <w:rPr>
          <w:rFonts w:ascii="Arial" w:eastAsia="Calibri" w:hAnsi="Arial" w:cs="Arial"/>
          <w:sz w:val="24"/>
          <w:szCs w:val="24"/>
        </w:rPr>
        <w:t>enero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512F25" w:rsidRPr="007C7739">
        <w:rPr>
          <w:rFonts w:ascii="Arial" w:eastAsia="Calibri" w:hAnsi="Arial" w:cs="Arial"/>
          <w:b/>
          <w:bCs/>
          <w:sz w:val="24"/>
          <w:szCs w:val="24"/>
        </w:rPr>
        <w:t xml:space="preserve">Décima </w:t>
      </w:r>
      <w:r w:rsidR="00206645" w:rsidRPr="007C7739">
        <w:rPr>
          <w:rFonts w:ascii="Arial" w:eastAsia="Calibri" w:hAnsi="Arial" w:cs="Arial"/>
          <w:b/>
          <w:bCs/>
          <w:sz w:val="24"/>
          <w:szCs w:val="24"/>
        </w:rPr>
        <w:t>Novena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w:t>
      </w:r>
      <w:r w:rsidRPr="00DB1125">
        <w:rPr>
          <w:rFonts w:ascii="Arial" w:hAnsi="Arial" w:cs="Arial"/>
          <w:bCs/>
          <w:sz w:val="24"/>
        </w:rPr>
        <w:lastRenderedPageBreak/>
        <w:t xml:space="preserve">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t xml:space="preserve">Las aportaciones federales serán administradas y ejercidas por los gobiernos de las entidades federativas y, en su caso, de los municipios y las alcaldías de la Ciudad de </w:t>
      </w:r>
      <w:r w:rsidRPr="00037186">
        <w:rPr>
          <w:i/>
          <w:sz w:val="22"/>
          <w:szCs w:val="22"/>
        </w:rPr>
        <w:lastRenderedPageBreak/>
        <w:t>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77777777"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1E517E87"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CIENTO TRES PESOS 74/100 M.N.), que el monto de las Obras que aquí nos ocupan no exceden el límite establecido en la fracción I del numeral 2 del Artículo 43 de la Ley de Obra Pública para el Estado de Jalisco y sus Municipios, que la</w:t>
      </w:r>
      <w:r w:rsidRPr="001626FD">
        <w:rPr>
          <w:rFonts w:ascii="Arial" w:eastAsia="Calibri" w:hAnsi="Arial" w:cs="Arial"/>
          <w:sz w:val="24"/>
          <w:szCs w:val="24"/>
        </w:rPr>
        <w:t xml:space="preserve"> misma provienen de </w:t>
      </w:r>
      <w:r>
        <w:rPr>
          <w:rFonts w:ascii="Arial" w:eastAsia="Calibri" w:hAnsi="Arial" w:cs="Arial"/>
          <w:sz w:val="24"/>
          <w:szCs w:val="24"/>
        </w:rPr>
        <w:t xml:space="preserve">del FORTAMUN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w:t>
      </w:r>
      <w:r w:rsidRPr="00315EAE">
        <w:rPr>
          <w:rFonts w:ascii="Arial" w:hAnsi="Arial" w:cs="Arial"/>
          <w:sz w:val="24"/>
          <w:szCs w:val="24"/>
        </w:rPr>
        <w:lastRenderedPageBreak/>
        <w:t>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los argumentos jurídicos y técnicos contenidos en los Acuerdos de Justificación emitidos por el Área 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C O N C L U S I Ó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26A74EA9"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La Comisión Edilicia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w:t>
      </w:r>
      <w:r w:rsidR="002139A2">
        <w:rPr>
          <w:rFonts w:ascii="Arial" w:eastAsia="Calibri" w:hAnsi="Arial" w:cs="Arial"/>
          <w:b/>
          <w:color w:val="000000"/>
          <w:sz w:val="24"/>
          <w:szCs w:val="24"/>
        </w:rPr>
        <w:t>6</w:t>
      </w:r>
      <w:r>
        <w:rPr>
          <w:rFonts w:ascii="Arial" w:eastAsia="Calibri" w:hAnsi="Arial" w:cs="Arial"/>
          <w:b/>
          <w:color w:val="000000"/>
          <w:sz w:val="24"/>
          <w:szCs w:val="24"/>
        </w:rPr>
        <w:t xml:space="preserve"> </w:t>
      </w:r>
      <w:r w:rsidR="002139A2">
        <w:rPr>
          <w:rFonts w:ascii="Arial" w:eastAsia="Calibri" w:hAnsi="Arial" w:cs="Arial"/>
          <w:b/>
          <w:color w:val="000000"/>
          <w:sz w:val="24"/>
          <w:szCs w:val="24"/>
        </w:rPr>
        <w:t>dieciséis</w:t>
      </w:r>
      <w:r>
        <w:rPr>
          <w:rFonts w:ascii="Arial" w:eastAsia="Calibri" w:hAnsi="Arial" w:cs="Arial"/>
          <w:b/>
          <w:color w:val="000000"/>
          <w:sz w:val="24"/>
          <w:szCs w:val="24"/>
        </w:rPr>
        <w:t xml:space="preserve"> de </w:t>
      </w:r>
      <w:r w:rsidR="002139A2">
        <w:rPr>
          <w:rFonts w:ascii="Arial" w:eastAsia="Calibri" w:hAnsi="Arial" w:cs="Arial"/>
          <w:b/>
          <w:color w:val="000000"/>
          <w:sz w:val="24"/>
          <w:szCs w:val="24"/>
        </w:rPr>
        <w:t>enero</w:t>
      </w:r>
      <w:r>
        <w:rPr>
          <w:rFonts w:ascii="Arial" w:eastAsia="Calibri" w:hAnsi="Arial" w:cs="Arial"/>
          <w:b/>
          <w:color w:val="000000"/>
          <w:sz w:val="24"/>
          <w:szCs w:val="24"/>
        </w:rPr>
        <w:t xml:space="preserve"> del 202</w:t>
      </w:r>
      <w:r w:rsidR="002139A2">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3535"/>
        <w:gridCol w:w="2275"/>
        <w:gridCol w:w="3541"/>
      </w:tblGrid>
      <w:tr w:rsidR="00BB3C3C" w:rsidRPr="007B7D0E" w14:paraId="3DDCFC1A" w14:textId="77777777" w:rsidTr="002139A2">
        <w:trPr>
          <w:trHeight w:val="439"/>
        </w:trPr>
        <w:tc>
          <w:tcPr>
            <w:tcW w:w="3681"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005"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BB3C3C" w:rsidRPr="007B7D0E" w14:paraId="3660B574" w14:textId="77777777" w:rsidTr="002139A2">
        <w:tc>
          <w:tcPr>
            <w:tcW w:w="3681" w:type="dxa"/>
          </w:tcPr>
          <w:p w14:paraId="61C05386" w14:textId="6DDF13FC" w:rsidR="00BB3C3C" w:rsidRPr="002139A2" w:rsidRDefault="00BB3C3C" w:rsidP="00BB3C3C">
            <w:pPr>
              <w:spacing w:after="0" w:line="240" w:lineRule="auto"/>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sidR="002139A2" w:rsidRPr="002139A2">
              <w:rPr>
                <w:rFonts w:ascii="Arial" w:eastAsia="Times New Roman" w:hAnsi="Arial" w:cs="Arial"/>
                <w:b/>
                <w:color w:val="000000"/>
                <w:sz w:val="20"/>
                <w:szCs w:val="20"/>
                <w:lang w:eastAsia="es-MX"/>
              </w:rPr>
              <w:t>1</w:t>
            </w:r>
            <w:r w:rsidRPr="002139A2">
              <w:rPr>
                <w:rFonts w:ascii="Arial" w:eastAsia="Times New Roman" w:hAnsi="Arial" w:cs="Arial"/>
                <w:b/>
                <w:color w:val="000000"/>
                <w:sz w:val="20"/>
                <w:szCs w:val="20"/>
                <w:lang w:eastAsia="es-MX"/>
              </w:rPr>
              <w:t>-202</w:t>
            </w:r>
            <w:r w:rsidR="002139A2" w:rsidRPr="002139A2">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w:t>
            </w:r>
            <w:r w:rsidRPr="002139A2">
              <w:rPr>
                <w:rFonts w:ascii="Arial" w:eastAsia="Times New Roman" w:hAnsi="Arial" w:cs="Arial"/>
                <w:bCs/>
                <w:color w:val="000000"/>
                <w:sz w:val="20"/>
                <w:szCs w:val="20"/>
                <w:lang w:eastAsia="es-MX"/>
              </w:rPr>
              <w:t xml:space="preserve"> </w:t>
            </w:r>
            <w:r w:rsidR="002139A2" w:rsidRPr="002139A2">
              <w:rPr>
                <w:rFonts w:ascii="Arial" w:eastAsia="Times New Roman" w:hAnsi="Arial" w:cs="Arial"/>
                <w:bCs/>
                <w:sz w:val="20"/>
                <w:szCs w:val="20"/>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p>
          <w:p w14:paraId="2A5132F8" w14:textId="77777777" w:rsidR="00BB3C3C" w:rsidRPr="002139A2" w:rsidRDefault="00BB3C3C" w:rsidP="00BB3C3C">
            <w:pPr>
              <w:spacing w:after="0"/>
              <w:jc w:val="both"/>
              <w:rPr>
                <w:rFonts w:ascii="Arial" w:eastAsia="Times New Roman" w:hAnsi="Arial" w:cs="Arial"/>
                <w:bCs/>
                <w:sz w:val="20"/>
                <w:szCs w:val="20"/>
                <w:lang w:eastAsia="es-MX"/>
              </w:rPr>
            </w:pPr>
          </w:p>
        </w:tc>
        <w:tc>
          <w:tcPr>
            <w:tcW w:w="2005" w:type="dxa"/>
          </w:tcPr>
          <w:p w14:paraId="081D0E2B" w14:textId="13F81B8E" w:rsidR="00BB3C3C" w:rsidRPr="002139A2" w:rsidRDefault="002139A2" w:rsidP="00BB3C3C">
            <w:pPr>
              <w:spacing w:after="0"/>
              <w:ind w:right="49"/>
              <w:jc w:val="both"/>
              <w:rPr>
                <w:rFonts w:ascii="Arial" w:eastAsia="Times New Roman" w:hAnsi="Arial" w:cs="Arial"/>
                <w:bCs/>
                <w:sz w:val="20"/>
                <w:szCs w:val="20"/>
                <w:lang w:eastAsia="es-MX"/>
              </w:rPr>
            </w:pPr>
            <w:r w:rsidRPr="002139A2">
              <w:rPr>
                <w:rFonts w:ascii="Arial" w:eastAsia="Times New Roman" w:hAnsi="Arial" w:cs="Arial"/>
                <w:bCs/>
                <w:sz w:val="22"/>
                <w:szCs w:val="22"/>
                <w:lang w:eastAsia="es-MX"/>
              </w:rPr>
              <w:t>$</w:t>
            </w:r>
            <w:r w:rsidRPr="002139A2">
              <w:rPr>
                <w:rFonts w:ascii="Arial" w:eastAsia="Times New Roman" w:hAnsi="Arial" w:cs="Arial"/>
                <w:bCs/>
                <w:lang w:eastAsia="es-MX"/>
              </w:rPr>
              <w:t>3</w:t>
            </w:r>
            <w:r w:rsidRPr="002139A2">
              <w:rPr>
                <w:rFonts w:ascii="Arial" w:eastAsia="Times New Roman" w:hAnsi="Arial" w:cs="Arial"/>
                <w:bCs/>
                <w:sz w:val="22"/>
                <w:szCs w:val="22"/>
                <w:lang w:eastAsia="es-MX"/>
              </w:rPr>
              <w:t>,2</w:t>
            </w:r>
            <w:r w:rsidRPr="002139A2">
              <w:rPr>
                <w:rFonts w:ascii="Arial" w:eastAsia="Times New Roman" w:hAnsi="Arial" w:cs="Arial"/>
                <w:bCs/>
                <w:lang w:eastAsia="es-MX"/>
              </w:rPr>
              <w:t>41</w:t>
            </w:r>
            <w:r w:rsidRPr="002139A2">
              <w:rPr>
                <w:rFonts w:ascii="Arial" w:eastAsia="Times New Roman" w:hAnsi="Arial" w:cs="Arial"/>
                <w:bCs/>
                <w:sz w:val="22"/>
                <w:szCs w:val="22"/>
                <w:lang w:eastAsia="es-MX"/>
              </w:rPr>
              <w:t>,</w:t>
            </w:r>
            <w:r w:rsidRPr="002139A2">
              <w:rPr>
                <w:rFonts w:ascii="Arial" w:eastAsia="Times New Roman" w:hAnsi="Arial" w:cs="Arial"/>
                <w:bCs/>
                <w:lang w:eastAsia="es-MX"/>
              </w:rPr>
              <w:t>620</w:t>
            </w:r>
            <w:r w:rsidRPr="002139A2">
              <w:rPr>
                <w:rFonts w:ascii="Arial" w:eastAsia="Times New Roman" w:hAnsi="Arial" w:cs="Arial"/>
                <w:bCs/>
                <w:sz w:val="22"/>
                <w:szCs w:val="22"/>
                <w:lang w:eastAsia="es-MX"/>
              </w:rPr>
              <w:t>.</w:t>
            </w:r>
            <w:r w:rsidRPr="002139A2">
              <w:rPr>
                <w:rFonts w:ascii="Arial" w:eastAsia="Times New Roman" w:hAnsi="Arial" w:cs="Arial"/>
                <w:bCs/>
                <w:lang w:eastAsia="es-MX"/>
              </w:rPr>
              <w:t>36</w:t>
            </w:r>
            <w:r w:rsidRPr="002139A2">
              <w:rPr>
                <w:rFonts w:ascii="Arial" w:eastAsia="Times New Roman" w:hAnsi="Arial" w:cs="Arial"/>
                <w:bCs/>
                <w:sz w:val="22"/>
                <w:szCs w:val="22"/>
                <w:lang w:eastAsia="es-MX"/>
              </w:rPr>
              <w:t>(</w:t>
            </w:r>
            <w:r w:rsidRPr="008A3A99">
              <w:rPr>
                <w:rFonts w:ascii="Arial" w:eastAsia="Times New Roman" w:hAnsi="Arial" w:cs="Arial"/>
                <w:bCs/>
                <w:sz w:val="22"/>
                <w:szCs w:val="22"/>
                <w:lang w:eastAsia="es-MX"/>
              </w:rPr>
              <w:t>Tres Millones Doscientos Cuarenta y Un Mil Seiscientos Veinte pesos</w:t>
            </w:r>
            <w:r w:rsidRPr="002139A2">
              <w:rPr>
                <w:rFonts w:ascii="Arial" w:eastAsia="Times New Roman" w:hAnsi="Arial" w:cs="Arial"/>
                <w:bCs/>
                <w:sz w:val="22"/>
                <w:szCs w:val="22"/>
                <w:lang w:eastAsia="es-MX"/>
              </w:rPr>
              <w:t xml:space="preserve"> </w:t>
            </w:r>
            <w:r w:rsidRPr="002139A2">
              <w:rPr>
                <w:rFonts w:ascii="Arial" w:eastAsia="Times New Roman" w:hAnsi="Arial" w:cs="Arial"/>
                <w:bCs/>
                <w:lang w:eastAsia="es-MX"/>
              </w:rPr>
              <w:t>36</w:t>
            </w:r>
            <w:r w:rsidRPr="002139A2">
              <w:rPr>
                <w:rFonts w:ascii="Arial" w:eastAsia="Times New Roman" w:hAnsi="Arial" w:cs="Arial"/>
                <w:bCs/>
                <w:sz w:val="22"/>
                <w:szCs w:val="22"/>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0B58AEE3" w14:textId="50510D97" w:rsidR="00BB3C3C" w:rsidRPr="00BB3C3C" w:rsidRDefault="00A713C6"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ARQ. FRANCISCO VAZQUEZ CORTES</w:t>
            </w:r>
          </w:p>
          <w:p w14:paraId="643A034B" w14:textId="5F983967" w:rsidR="00BB3C3C" w:rsidRPr="00BB3C3C" w:rsidRDefault="00A713C6"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DISEÑO Y CONSTRUCCIÓN DE ZAPOTLÁN S.A. DE C.V.</w:t>
            </w:r>
            <w:r w:rsidR="00BB3C3C" w:rsidRPr="00BB3C3C">
              <w:rPr>
                <w:rFonts w:ascii="Arial" w:eastAsia="Calibri" w:hAnsi="Arial" w:cs="Arial"/>
                <w:sz w:val="20"/>
                <w:szCs w:val="20"/>
                <w:lang w:val="es-ES_tradnl"/>
              </w:rPr>
              <w:t xml:space="preserve">  </w:t>
            </w:r>
          </w:p>
          <w:p w14:paraId="209D435E" w14:textId="2A018D2D" w:rsidR="00BB3C3C" w:rsidRPr="00BB3C3C" w:rsidRDefault="00A713C6" w:rsidP="00BB3C3C">
            <w:pPr>
              <w:pStyle w:val="NormalWeb"/>
              <w:numPr>
                <w:ilvl w:val="0"/>
                <w:numId w:val="1"/>
              </w:numPr>
              <w:spacing w:before="0" w:beforeAutospacing="0" w:after="0" w:afterAutospacing="0"/>
              <w:jc w:val="both"/>
              <w:rPr>
                <w:rFonts w:ascii="Arial" w:hAnsi="Arial" w:cs="Arial"/>
                <w:b/>
                <w:sz w:val="14"/>
                <w:szCs w:val="14"/>
              </w:rPr>
            </w:pPr>
            <w:r w:rsidRPr="008A3A99">
              <w:rPr>
                <w:rFonts w:ascii="Arial" w:eastAsia="Calibri" w:hAnsi="Arial" w:cs="Arial"/>
                <w:sz w:val="20"/>
                <w:szCs w:val="20"/>
              </w:rPr>
              <w:t>CONSTRUCTORA NOBOYASA, S.A</w:t>
            </w:r>
            <w:r w:rsidR="008A3A99" w:rsidRPr="008A3A99">
              <w:rPr>
                <w:rFonts w:ascii="Arial" w:eastAsia="Calibri" w:hAnsi="Arial" w:cs="Arial"/>
                <w:sz w:val="20"/>
                <w:szCs w:val="20"/>
              </w:rPr>
              <w:t xml:space="preserve"> D</w:t>
            </w:r>
            <w:r w:rsidR="008A3A99">
              <w:rPr>
                <w:rFonts w:ascii="Arial" w:eastAsia="Calibri" w:hAnsi="Arial" w:cs="Arial"/>
                <w:sz w:val="20"/>
                <w:szCs w:val="20"/>
              </w:rPr>
              <w:t>E C.V.</w:t>
            </w:r>
          </w:p>
          <w:p w14:paraId="4C2E2EEF" w14:textId="0F8F70EC" w:rsidR="00BB3C3C" w:rsidRPr="00BB3C3C" w:rsidRDefault="008A3A99"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 xml:space="preserve">ING. SIAMIR YOSAM CARDENAS DEL TORO </w:t>
            </w:r>
          </w:p>
          <w:p w14:paraId="22CB7319" w14:textId="300AA12C" w:rsidR="00BB3C3C" w:rsidRPr="00BB3C3C" w:rsidRDefault="008A3A99" w:rsidP="00BB3C3C">
            <w:pPr>
              <w:pStyle w:val="NormalWeb"/>
              <w:numPr>
                <w:ilvl w:val="0"/>
                <w:numId w:val="1"/>
              </w:numPr>
              <w:spacing w:before="0" w:beforeAutospacing="0" w:after="0" w:afterAutospacing="0"/>
              <w:jc w:val="both"/>
              <w:rPr>
                <w:rFonts w:ascii="Arial" w:hAnsi="Arial" w:cs="Arial"/>
                <w:b/>
                <w:sz w:val="14"/>
                <w:szCs w:val="14"/>
              </w:rPr>
            </w:pPr>
            <w:r>
              <w:rPr>
                <w:rFonts w:ascii="Arial" w:eastAsia="Calibri" w:hAnsi="Arial" w:cs="Arial"/>
                <w:sz w:val="20"/>
                <w:szCs w:val="20"/>
                <w:lang w:val="es-ES_tradnl"/>
              </w:rPr>
              <w:t>LP PUENTES Y CARRE</w:t>
            </w:r>
            <w:r w:rsidR="007C7739">
              <w:rPr>
                <w:rFonts w:ascii="Arial" w:eastAsia="Calibri" w:hAnsi="Arial" w:cs="Arial"/>
                <w:sz w:val="20"/>
                <w:szCs w:val="20"/>
                <w:lang w:val="es-ES_tradnl"/>
              </w:rPr>
              <w:t>TE</w:t>
            </w:r>
            <w:r>
              <w:rPr>
                <w:rFonts w:ascii="Arial" w:eastAsia="Calibri" w:hAnsi="Arial" w:cs="Arial"/>
                <w:sz w:val="20"/>
                <w:szCs w:val="20"/>
                <w:lang w:val="es-ES_tradnl"/>
              </w:rPr>
              <w:t>RAS DE OCCIDENTE, S.A. DE C.V.</w:t>
            </w:r>
          </w:p>
          <w:p w14:paraId="720B4B9D" w14:textId="77777777" w:rsidR="00BB3C3C" w:rsidRPr="00683943" w:rsidRDefault="00BB3C3C" w:rsidP="00BB3C3C">
            <w:pPr>
              <w:pStyle w:val="NormalWeb"/>
              <w:spacing w:before="0" w:beforeAutospacing="0" w:after="0" w:afterAutospacing="0"/>
              <w:ind w:left="360"/>
              <w:jc w:val="both"/>
              <w:rPr>
                <w:rFonts w:ascii="Arial" w:hAnsi="Arial" w:cs="Arial"/>
                <w:b/>
                <w:sz w:val="18"/>
                <w:szCs w:val="18"/>
              </w:rPr>
            </w:pPr>
          </w:p>
        </w:tc>
      </w:tr>
    </w:tbl>
    <w:p w14:paraId="35E2BC4C" w14:textId="29BBF157" w:rsidR="00B33974" w:rsidRPr="00E14A6B" w:rsidRDefault="00BB3C3C" w:rsidP="00B33974">
      <w:pPr>
        <w:jc w:val="both"/>
        <w:rPr>
          <w:rFonts w:ascii="Arial" w:hAnsi="Arial" w:cs="Arial"/>
          <w:bCs/>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2139A2">
        <w:rPr>
          <w:rFonts w:ascii="Arial" w:hAnsi="Arial" w:cs="Arial"/>
          <w:b/>
          <w:bCs/>
          <w:sz w:val="24"/>
          <w:szCs w:val="24"/>
        </w:rPr>
        <w:t>1</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764F9ABC"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lastRenderedPageBreak/>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107401C0"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GOMEZ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r w:rsidR="00D40449" w:rsidRPr="005E41E9">
        <w:rPr>
          <w:rFonts w:ascii="Arial" w:eastAsia="Calibri" w:hAnsi="Arial" w:cs="Arial"/>
          <w:b/>
          <w:iCs/>
          <w:color w:val="000000"/>
          <w:sz w:val="24"/>
          <w:szCs w:val="24"/>
        </w:rPr>
        <w:t>Directora</w:t>
      </w:r>
      <w:r w:rsidR="00BB3C3C">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 xml:space="preserve">General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DA4EB72" w14:textId="555CBB8E"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8A3A99">
        <w:rPr>
          <w:rFonts w:ascii="Arial" w:eastAsia="Arial" w:hAnsi="Arial" w:cs="Arial"/>
          <w:b/>
          <w:sz w:val="20"/>
          <w:szCs w:val="21"/>
          <w:lang w:val="es-ES"/>
        </w:rPr>
        <w:t>17</w:t>
      </w:r>
      <w:r w:rsidRPr="005E41E9">
        <w:rPr>
          <w:rFonts w:ascii="Arial" w:eastAsia="Arial" w:hAnsi="Arial" w:cs="Arial"/>
          <w:b/>
          <w:sz w:val="20"/>
          <w:szCs w:val="21"/>
          <w:lang w:val="es-ES"/>
        </w:rPr>
        <w:t xml:space="preserve"> DE </w:t>
      </w:r>
      <w:r w:rsidR="008A3A99">
        <w:rPr>
          <w:rFonts w:ascii="Arial" w:eastAsia="Arial" w:hAnsi="Arial" w:cs="Arial"/>
          <w:b/>
          <w:sz w:val="20"/>
          <w:szCs w:val="21"/>
          <w:lang w:val="es-ES"/>
        </w:rPr>
        <w:t>ENERO</w:t>
      </w:r>
      <w:r w:rsidR="00BB3C3C">
        <w:rPr>
          <w:rFonts w:ascii="Arial" w:eastAsia="Arial" w:hAnsi="Arial" w:cs="Arial"/>
          <w:b/>
          <w:sz w:val="20"/>
          <w:szCs w:val="21"/>
          <w:lang w:val="es-ES"/>
        </w:rPr>
        <w:t xml:space="preserv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w:t>
      </w:r>
      <w:r w:rsidR="008A3A99">
        <w:rPr>
          <w:rFonts w:ascii="Arial" w:eastAsia="Arial" w:hAnsi="Arial" w:cs="Arial"/>
          <w:b/>
          <w:sz w:val="20"/>
          <w:szCs w:val="21"/>
          <w:lang w:val="es-ES"/>
        </w:rPr>
        <w:t>4</w:t>
      </w:r>
      <w:r w:rsidRPr="005E41E9">
        <w:rPr>
          <w:rFonts w:ascii="Arial" w:eastAsia="Arial" w:hAnsi="Arial" w:cs="Arial"/>
          <w:b/>
          <w:sz w:val="20"/>
          <w:szCs w:val="21"/>
          <w:lang w:val="es-ES"/>
        </w:rPr>
        <w:t>.</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10EEF305" w14:textId="4861865D" w:rsidR="00D40449" w:rsidRDefault="00D40449" w:rsidP="00D40449">
      <w:pPr>
        <w:spacing w:after="0"/>
        <w:ind w:left="142"/>
        <w:jc w:val="center"/>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40A6B426" w14:textId="77777777" w:rsidR="00D40449" w:rsidRPr="00EF6172" w:rsidRDefault="00D40449" w:rsidP="00D40449">
      <w:pPr>
        <w:spacing w:after="0"/>
        <w:jc w:val="center"/>
        <w:rPr>
          <w:rFonts w:ascii="Arial" w:hAnsi="Arial" w:cs="Arial"/>
          <w:b/>
          <w:sz w:val="20"/>
          <w:szCs w:val="24"/>
        </w:rPr>
      </w:pPr>
    </w:p>
    <w:p w14:paraId="5659FA0F" w14:textId="77777777" w:rsidR="00D40449" w:rsidRDefault="00D40449" w:rsidP="00D40449">
      <w:pPr>
        <w:spacing w:after="0"/>
        <w:jc w:val="center"/>
        <w:rPr>
          <w:rFonts w:ascii="Arial" w:hAnsi="Arial" w:cs="Arial"/>
          <w:b/>
          <w:sz w:val="20"/>
          <w:szCs w:val="24"/>
        </w:rPr>
      </w:pPr>
    </w:p>
    <w:p w14:paraId="54DAECA3" w14:textId="733B121C" w:rsidR="00D40449" w:rsidRPr="00B2724D" w:rsidRDefault="00B2724D" w:rsidP="00B2724D">
      <w:pPr>
        <w:spacing w:after="0"/>
        <w:jc w:val="both"/>
        <w:rPr>
          <w:rFonts w:ascii="Arial" w:hAnsi="Arial" w:cs="Arial"/>
          <w:b/>
          <w:sz w:val="10"/>
          <w:szCs w:val="14"/>
        </w:rPr>
      </w:pPr>
      <w:r w:rsidRPr="008A3A99">
        <w:rPr>
          <w:rFonts w:ascii="Arial" w:hAnsi="Arial" w:cs="Arial"/>
          <w:b/>
          <w:sz w:val="14"/>
          <w:szCs w:val="14"/>
        </w:rPr>
        <w:t xml:space="preserve">La presente hoja de firmas corresponde al </w:t>
      </w:r>
      <w:r w:rsidRPr="00B2724D">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Pr="00B2724D">
        <w:rPr>
          <w:rFonts w:ascii="Arial" w:eastAsia="Arial" w:hAnsi="Arial" w:cs="Arial"/>
          <w:b/>
          <w:sz w:val="14"/>
          <w:szCs w:val="14"/>
        </w:rPr>
        <w:t xml:space="preserve">DEL </w:t>
      </w:r>
      <w:r w:rsidRPr="00B2724D">
        <w:rPr>
          <w:rFonts w:ascii="Arial" w:eastAsia="Calibri" w:hAnsi="Arial" w:cs="Arial"/>
          <w:b/>
          <w:color w:val="000000"/>
          <w:sz w:val="14"/>
          <w:szCs w:val="14"/>
        </w:rPr>
        <w:t>COMITÉ DE OBRA PÚBLICA DEL GOBIERNO MUNICIPAL DE ZAPOTLÁN EL GRANDE, JALISCO</w:t>
      </w:r>
      <w:r w:rsidRPr="00B2724D">
        <w:rPr>
          <w:rFonts w:ascii="Arial" w:eastAsia="Arial" w:hAnsi="Arial" w:cs="Arial"/>
          <w:b/>
          <w:sz w:val="14"/>
          <w:szCs w:val="14"/>
        </w:rPr>
        <w:t xml:space="preserve"> EMITIDO CON FECHA 1</w:t>
      </w:r>
      <w:r w:rsidR="008A3A99">
        <w:rPr>
          <w:rFonts w:ascii="Arial" w:eastAsia="Arial" w:hAnsi="Arial" w:cs="Arial"/>
          <w:b/>
          <w:sz w:val="14"/>
          <w:szCs w:val="14"/>
        </w:rPr>
        <w:t>6</w:t>
      </w:r>
      <w:r w:rsidRPr="00B2724D">
        <w:rPr>
          <w:rFonts w:ascii="Arial" w:eastAsia="Arial" w:hAnsi="Arial" w:cs="Arial"/>
          <w:b/>
          <w:sz w:val="14"/>
          <w:szCs w:val="14"/>
        </w:rPr>
        <w:t xml:space="preserve"> DIECISI</w:t>
      </w:r>
      <w:r w:rsidR="008A3A99">
        <w:rPr>
          <w:rFonts w:ascii="Arial" w:eastAsia="Arial" w:hAnsi="Arial" w:cs="Arial"/>
          <w:b/>
          <w:sz w:val="14"/>
          <w:szCs w:val="14"/>
        </w:rPr>
        <w:t>SEIS</w:t>
      </w:r>
      <w:r w:rsidRPr="00B2724D">
        <w:rPr>
          <w:rFonts w:ascii="Arial" w:eastAsia="Arial" w:hAnsi="Arial" w:cs="Arial"/>
          <w:b/>
          <w:sz w:val="14"/>
          <w:szCs w:val="14"/>
        </w:rPr>
        <w:t xml:space="preserve"> DE </w:t>
      </w:r>
      <w:r w:rsidR="008A3A99">
        <w:rPr>
          <w:rFonts w:ascii="Arial" w:eastAsia="Arial" w:hAnsi="Arial" w:cs="Arial"/>
          <w:b/>
          <w:sz w:val="14"/>
          <w:szCs w:val="14"/>
        </w:rPr>
        <w:t>ENERO</w:t>
      </w:r>
      <w:r w:rsidRPr="00B2724D">
        <w:rPr>
          <w:rFonts w:ascii="Arial" w:eastAsia="Arial" w:hAnsi="Arial" w:cs="Arial"/>
          <w:b/>
          <w:sz w:val="14"/>
          <w:szCs w:val="14"/>
        </w:rPr>
        <w:t xml:space="preserve"> DEL 202</w:t>
      </w:r>
      <w:r w:rsidR="008A3A99">
        <w:rPr>
          <w:rFonts w:ascii="Arial" w:eastAsia="Arial" w:hAnsi="Arial" w:cs="Arial"/>
          <w:b/>
          <w:sz w:val="14"/>
          <w:szCs w:val="14"/>
        </w:rPr>
        <w:t>4</w:t>
      </w:r>
      <w:r w:rsidRPr="00B2724D">
        <w:rPr>
          <w:rFonts w:ascii="Arial" w:eastAsia="Arial" w:hAnsi="Arial" w:cs="Arial"/>
          <w:bCs/>
          <w:sz w:val="14"/>
          <w:szCs w:val="14"/>
        </w:rPr>
        <w:t xml:space="preserve">, </w:t>
      </w:r>
      <w:r w:rsidRPr="00B2724D">
        <w:rPr>
          <w:rFonts w:ascii="Arial" w:eastAsia="Arial" w:hAnsi="Arial" w:cs="Arial"/>
          <w:b/>
          <w:bCs/>
          <w:sz w:val="14"/>
          <w:szCs w:val="14"/>
        </w:rPr>
        <w:t xml:space="preserve">RESPECTO DE </w:t>
      </w:r>
      <w:r w:rsidRPr="00B2724D">
        <w:rPr>
          <w:rFonts w:ascii="Arial" w:eastAsia="Arial" w:hAnsi="Arial" w:cs="Arial"/>
          <w:b/>
          <w:sz w:val="14"/>
          <w:szCs w:val="14"/>
        </w:rPr>
        <w:t>LA MODALIDAD DE CONTRATACIÒN POR CONCURSO SIMPLIFICADO SUMARIO PARA LAS OBRA PUBLICA</w:t>
      </w:r>
      <w:r w:rsidRPr="00B2724D">
        <w:rPr>
          <w:rFonts w:ascii="Arial" w:eastAsia="Arial" w:hAnsi="Arial" w:cs="Arial"/>
          <w:b/>
          <w:bCs/>
          <w:sz w:val="14"/>
          <w:szCs w:val="14"/>
        </w:rPr>
        <w:t xml:space="preserve"> </w:t>
      </w:r>
      <w:r w:rsidRPr="00B2724D">
        <w:rPr>
          <w:rFonts w:ascii="Arial" w:eastAsia="Times New Roman" w:hAnsi="Arial" w:cs="Arial"/>
          <w:b/>
          <w:color w:val="000000"/>
          <w:sz w:val="14"/>
          <w:szCs w:val="14"/>
          <w:lang w:eastAsia="es-MX"/>
        </w:rPr>
        <w:t>FORTA-00</w:t>
      </w:r>
      <w:r w:rsidR="008A3A99">
        <w:rPr>
          <w:rFonts w:ascii="Arial" w:eastAsia="Times New Roman" w:hAnsi="Arial" w:cs="Arial"/>
          <w:b/>
          <w:color w:val="000000"/>
          <w:sz w:val="14"/>
          <w:szCs w:val="14"/>
          <w:lang w:eastAsia="es-MX"/>
        </w:rPr>
        <w:t>1</w:t>
      </w:r>
      <w:r w:rsidRPr="00B2724D">
        <w:rPr>
          <w:rFonts w:ascii="Arial" w:eastAsia="Times New Roman" w:hAnsi="Arial" w:cs="Arial"/>
          <w:b/>
          <w:color w:val="000000"/>
          <w:sz w:val="14"/>
          <w:szCs w:val="14"/>
          <w:lang w:eastAsia="es-MX"/>
        </w:rPr>
        <w:t>-202</w:t>
      </w:r>
      <w:r w:rsidR="008A3A99">
        <w:rPr>
          <w:rFonts w:ascii="Arial" w:eastAsia="Times New Roman" w:hAnsi="Arial" w:cs="Arial"/>
          <w:b/>
          <w:color w:val="000000"/>
          <w:sz w:val="14"/>
          <w:szCs w:val="14"/>
          <w:lang w:eastAsia="es-MX"/>
        </w:rPr>
        <w:t>4</w:t>
      </w:r>
      <w:r w:rsidRPr="00B2724D">
        <w:rPr>
          <w:rFonts w:ascii="Arial" w:eastAsia="Times New Roman" w:hAnsi="Arial" w:cs="Arial"/>
          <w:b/>
          <w:color w:val="000000"/>
          <w:sz w:val="14"/>
          <w:szCs w:val="14"/>
          <w:lang w:eastAsia="es-MX"/>
        </w:rPr>
        <w:t xml:space="preserve"> denominada </w:t>
      </w:r>
      <w:r w:rsidR="008A3A99" w:rsidRPr="008A3A99">
        <w:rPr>
          <w:rFonts w:ascii="Arial" w:eastAsia="Times New Roman" w:hAnsi="Arial" w:cs="Arial"/>
          <w:b/>
          <w:bCs/>
          <w:sz w:val="14"/>
          <w:szCs w:val="14"/>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Pr="00B2724D">
        <w:rPr>
          <w:rFonts w:ascii="Arial" w:eastAsia="Arial" w:hAnsi="Arial" w:cs="Arial"/>
          <w:b/>
          <w:bCs/>
          <w:sz w:val="14"/>
          <w:szCs w:val="14"/>
        </w:rPr>
        <w:t>”</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r w:rsidR="00BB3C3C">
        <w:rPr>
          <w:rFonts w:ascii="Arial" w:hAnsi="Arial" w:cs="Arial"/>
          <w:sz w:val="14"/>
          <w:szCs w:val="24"/>
        </w:rPr>
        <w:t>vso</w:t>
      </w:r>
    </w:p>
    <w:sectPr w:rsidR="00022C02" w:rsidRPr="00683943" w:rsidSect="000E0E4F">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255B" w14:textId="77777777" w:rsidR="000E0E4F" w:rsidRDefault="000E0E4F">
      <w:pPr>
        <w:spacing w:after="0" w:line="240" w:lineRule="auto"/>
      </w:pPr>
      <w:r>
        <w:separator/>
      </w:r>
    </w:p>
  </w:endnote>
  <w:endnote w:type="continuationSeparator" w:id="0">
    <w:p w14:paraId="37326481" w14:textId="77777777" w:rsidR="000E0E4F" w:rsidRDefault="000E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F020" w14:textId="77777777" w:rsidR="000E0E4F" w:rsidRDefault="000E0E4F">
      <w:pPr>
        <w:spacing w:after="0" w:line="240" w:lineRule="auto"/>
      </w:pPr>
      <w:r>
        <w:separator/>
      </w:r>
    </w:p>
  </w:footnote>
  <w:footnote w:type="continuationSeparator" w:id="0">
    <w:p w14:paraId="2EDBC26A" w14:textId="77777777" w:rsidR="000E0E4F" w:rsidRDefault="000E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52B12"/>
    <w:rsid w:val="00206645"/>
    <w:rsid w:val="002139A2"/>
    <w:rsid w:val="00230C4B"/>
    <w:rsid w:val="00421AB1"/>
    <w:rsid w:val="00512F25"/>
    <w:rsid w:val="005313EC"/>
    <w:rsid w:val="005E41E9"/>
    <w:rsid w:val="00683943"/>
    <w:rsid w:val="006A2F39"/>
    <w:rsid w:val="006C0C42"/>
    <w:rsid w:val="007B6D9B"/>
    <w:rsid w:val="007C7739"/>
    <w:rsid w:val="007F4A17"/>
    <w:rsid w:val="008227E5"/>
    <w:rsid w:val="008A3A99"/>
    <w:rsid w:val="0093281A"/>
    <w:rsid w:val="00936216"/>
    <w:rsid w:val="009822FD"/>
    <w:rsid w:val="00A41A21"/>
    <w:rsid w:val="00A713C6"/>
    <w:rsid w:val="00AC5D5D"/>
    <w:rsid w:val="00B2724D"/>
    <w:rsid w:val="00B33974"/>
    <w:rsid w:val="00BB3C3C"/>
    <w:rsid w:val="00BC4F0E"/>
    <w:rsid w:val="00C26F9F"/>
    <w:rsid w:val="00C566D8"/>
    <w:rsid w:val="00C6575E"/>
    <w:rsid w:val="00C67BE5"/>
    <w:rsid w:val="00C755B9"/>
    <w:rsid w:val="00CD79FC"/>
    <w:rsid w:val="00D40449"/>
    <w:rsid w:val="00D779C6"/>
    <w:rsid w:val="00DA22BE"/>
    <w:rsid w:val="00E14A6B"/>
    <w:rsid w:val="00E7394B"/>
    <w:rsid w:val="00EB33BC"/>
    <w:rsid w:val="00EC5104"/>
    <w:rsid w:val="00EE6477"/>
    <w:rsid w:val="00F16B38"/>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2289</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2024-01-23T17:28:00Z</cp:lastPrinted>
  <dcterms:created xsi:type="dcterms:W3CDTF">2024-01-22T14:16:00Z</dcterms:created>
  <dcterms:modified xsi:type="dcterms:W3CDTF">2024-01-23T17:31:00Z</dcterms:modified>
</cp:coreProperties>
</file>