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0A4A6F74" w14:textId="77777777" w:rsidR="00DC2AA4" w:rsidRPr="009818FB" w:rsidRDefault="00DC2AA4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3B3ED915" w14:textId="77777777" w:rsidR="00040E48" w:rsidRDefault="00040E48" w:rsidP="00690A25">
      <w:pPr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63AFF92" w14:textId="5DA6E217" w:rsidR="00DC2AA4" w:rsidRPr="00690A25" w:rsidRDefault="00DC2AA4" w:rsidP="00690A25">
      <w:pPr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452077">
        <w:rPr>
          <w:rFonts w:ascii="Arial" w:eastAsia="Calibri" w:hAnsi="Arial" w:cs="Arial"/>
          <w:sz w:val="24"/>
          <w:szCs w:val="24"/>
        </w:rPr>
        <w:t xml:space="preserve">      Los que</w:t>
      </w:r>
      <w:r w:rsidR="00452077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452077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RP-0</w:t>
      </w:r>
      <w:r w:rsidR="00FC6B6E">
        <w:rPr>
          <w:rStyle w:val="Ninguno"/>
          <w:rFonts w:ascii="Arial" w:hAnsi="Arial"/>
          <w:b/>
          <w:bCs/>
          <w:sz w:val="24"/>
          <w:szCs w:val="24"/>
          <w:lang w:val="es-ES"/>
        </w:rPr>
        <w:t>3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</w:t>
      </w:r>
      <w:r w:rsidR="00AF7938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r w:rsidR="00FC6B6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CONSTRUCCIÓN  DE RED DE DRENAJE Y AGUA POTABLE, CONSTRUCCION DE BASE Y PÁVIMIENTO DE CONCRETO  HIDRAULICO Y CONSTRUCCION DE BANQUETAS EN LA CALLE RAYÓN  ENTRE LA CALLE GREGORIA RAMÍREZ Y LA CALLE CUAUTÉMOC EN LE BARRIO DE CRISTO REY, EN CIUDAD GUZMÁN, MUNICIPIO DE ZAPOTLÁN EL GRANDE, JALISCO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D19FFD9" w14:textId="6AA7BB88" w:rsidR="00DC2AA4" w:rsidRPr="009818FB" w:rsidRDefault="00DC2AA4" w:rsidP="00FC6B6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FC6B6E" w:rsidRPr="00745BCC">
        <w:rPr>
          <w:rFonts w:ascii="Arial" w:hAnsi="Arial" w:cs="Arial"/>
          <w:bCs/>
          <w:lang w:val="es-ES"/>
        </w:rPr>
        <w:t xml:space="preserve">Mediante </w:t>
      </w:r>
      <w:r w:rsidR="00FC6B6E" w:rsidRPr="00745BCC">
        <w:rPr>
          <w:rFonts w:ascii="Arial" w:hAnsi="Arial" w:cs="Arial"/>
          <w:bCs/>
          <w:i/>
          <w:lang w:val="es-ES"/>
        </w:rPr>
        <w:t>TERCER PUNTO</w:t>
      </w:r>
      <w:r w:rsidR="00FC6B6E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97928A3" w14:textId="3FD24392" w:rsidR="00DC2AA4" w:rsidRPr="00F60585" w:rsidRDefault="00DC2AA4" w:rsidP="00F60585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60585">
        <w:rPr>
          <w:rFonts w:ascii="Arial" w:eastAsia="Calibri" w:hAnsi="Arial" w:cs="Arial"/>
          <w:sz w:val="24"/>
          <w:szCs w:val="24"/>
          <w:lang w:val="es-ES"/>
        </w:rPr>
        <w:t>:</w:t>
      </w:r>
    </w:p>
    <w:p w14:paraId="70E5F749" w14:textId="6712E5E5"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FC6B6E">
        <w:rPr>
          <w:rFonts w:ascii="Arial" w:eastAsia="Calibri" w:hAnsi="Arial" w:cs="Arial"/>
          <w:szCs w:val="24"/>
          <w:lang w:val="es-ES"/>
        </w:rPr>
        <w:t>27</w:t>
      </w:r>
      <w:r w:rsidRPr="009818FB">
        <w:rPr>
          <w:rFonts w:ascii="Arial" w:eastAsia="Calibri" w:hAnsi="Arial" w:cs="Arial"/>
          <w:szCs w:val="24"/>
          <w:lang w:val="es-ES"/>
        </w:rPr>
        <w:t xml:space="preserve"> de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FC6B6E">
        <w:rPr>
          <w:rFonts w:ascii="Arial" w:eastAsia="Calibri" w:hAnsi="Arial" w:cs="Arial"/>
          <w:szCs w:val="24"/>
          <w:lang w:val="es-ES"/>
        </w:rPr>
        <w:t>junio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FC6B6E">
        <w:rPr>
          <w:rFonts w:ascii="Arial" w:eastAsia="Calibri" w:hAnsi="Arial" w:cs="Arial"/>
          <w:szCs w:val="24"/>
          <w:lang w:val="es-ES"/>
        </w:rPr>
        <w:t>el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AB09CE">
        <w:rPr>
          <w:rFonts w:ascii="Arial" w:eastAsia="Calibri" w:hAnsi="Arial" w:cs="Arial"/>
          <w:szCs w:val="24"/>
          <w:lang w:val="es-ES"/>
        </w:rPr>
        <w:t>Director General</w:t>
      </w:r>
      <w:r w:rsidR="00452077">
        <w:rPr>
          <w:rFonts w:ascii="Arial" w:eastAsia="Calibri" w:hAnsi="Arial" w:cs="Arial"/>
          <w:szCs w:val="24"/>
          <w:lang w:val="es-ES"/>
        </w:rPr>
        <w:t xml:space="preserve"> de Gestión de la Ciudad, Arquitect</w:t>
      </w:r>
      <w:r w:rsidR="00FC6B6E">
        <w:rPr>
          <w:rFonts w:ascii="Arial" w:eastAsia="Calibri" w:hAnsi="Arial" w:cs="Arial"/>
          <w:szCs w:val="24"/>
          <w:lang w:val="es-ES"/>
        </w:rPr>
        <w:t>o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FC6B6E">
        <w:rPr>
          <w:rFonts w:ascii="Arial" w:eastAsia="Calibri" w:hAnsi="Arial" w:cs="Arial"/>
          <w:szCs w:val="24"/>
          <w:lang w:val="es-ES"/>
        </w:rPr>
        <w:t>Horacio Contreras García</w:t>
      </w:r>
      <w:r w:rsidR="00452077">
        <w:rPr>
          <w:rFonts w:ascii="Arial" w:eastAsia="Calibri" w:hAnsi="Arial" w:cs="Arial"/>
          <w:szCs w:val="24"/>
          <w:lang w:val="es-ES"/>
        </w:rPr>
        <w:t xml:space="preserve">,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452077"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FC6B6E">
        <w:rPr>
          <w:rFonts w:ascii="Arial" w:eastAsia="Calibri" w:hAnsi="Arial" w:cs="Arial"/>
          <w:b/>
          <w:szCs w:val="24"/>
          <w:lang w:val="es-ES"/>
        </w:rPr>
        <w:t>294</w:t>
      </w:r>
      <w:r w:rsidR="00452077">
        <w:rPr>
          <w:rFonts w:ascii="Arial" w:eastAsia="Calibri" w:hAnsi="Arial" w:cs="Arial"/>
          <w:b/>
          <w:szCs w:val="24"/>
          <w:lang w:val="es-ES"/>
        </w:rPr>
        <w:t>/2023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2F26E9">
        <w:rPr>
          <w:rFonts w:ascii="Arial" w:eastAsia="Times New Roman" w:hAnsi="Arial" w:cs="Arial"/>
          <w:color w:val="000000"/>
          <w:lang w:eastAsia="es-MX"/>
        </w:rPr>
        <w:t>RP-0</w:t>
      </w:r>
      <w:r w:rsidR="00FC6B6E">
        <w:rPr>
          <w:rFonts w:ascii="Arial" w:eastAsia="Times New Roman" w:hAnsi="Arial" w:cs="Arial"/>
          <w:color w:val="000000"/>
          <w:lang w:eastAsia="es-MX"/>
        </w:rPr>
        <w:t>3</w:t>
      </w:r>
      <w:r w:rsidR="00452077" w:rsidRPr="002F26E9">
        <w:rPr>
          <w:rFonts w:ascii="Arial" w:eastAsia="Times New Roman" w:hAnsi="Arial" w:cs="Arial"/>
          <w:color w:val="000000"/>
          <w:lang w:eastAsia="es-MX"/>
        </w:rPr>
        <w:t>-202</w:t>
      </w:r>
      <w:r w:rsidR="00FC6B6E">
        <w:rPr>
          <w:rFonts w:ascii="Arial" w:eastAsia="Times New Roman" w:hAnsi="Arial" w:cs="Arial"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32E88545" w14:textId="77777777" w:rsidTr="00DB45C4">
        <w:trPr>
          <w:trHeight w:val="338"/>
        </w:trPr>
        <w:tc>
          <w:tcPr>
            <w:tcW w:w="2462" w:type="dxa"/>
          </w:tcPr>
          <w:p w14:paraId="414CA833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34DD8FF5" w14:textId="762B76B5"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</w:t>
            </w:r>
            <w:r w:rsidR="00FC6B6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</w:t>
            </w:r>
            <w:r w:rsidR="00FC6B6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</w:t>
            </w:r>
          </w:p>
        </w:tc>
      </w:tr>
      <w:tr w:rsidR="00690A25" w:rsidRPr="00F42F33" w14:paraId="056A82AD" w14:textId="77777777" w:rsidTr="00DB45C4">
        <w:trPr>
          <w:trHeight w:val="598"/>
        </w:trPr>
        <w:tc>
          <w:tcPr>
            <w:tcW w:w="2462" w:type="dxa"/>
            <w:vAlign w:val="center"/>
          </w:tcPr>
          <w:p w14:paraId="1D4D64B0" w14:textId="77777777"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3D1C6564" w14:textId="5D27E712" w:rsidR="00690A25" w:rsidRPr="00FC6B6E" w:rsidRDefault="00FC6B6E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6B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CONSTRUCCIÓN DE RED DE DRENAJE Y AGUA POTABLE, CONSTRUCCION DE BASE Y PÁVIMIENTO DE CONCRETO HIDRAULICO Y CONSTRUCCION DE BANQUETAS EN LA CALLE </w:t>
            </w:r>
            <w:r w:rsidR="00AB09CE" w:rsidRPr="00FC6B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 ENTRE</w:t>
            </w:r>
            <w:r w:rsidRPr="00FC6B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LA CALLE GREGORIA RAMÍREZ Y LA CALLE CUAUTÉMOC EN LE BARRIO DE CRISTO REY, EN CIUDAD GUZMÁN, MUNICIPIO DE ZAPOTLÁN EL GRANDE, JALISCO</w:t>
            </w:r>
          </w:p>
        </w:tc>
      </w:tr>
      <w:tr w:rsidR="00690A25" w:rsidRPr="00F42F33" w14:paraId="6587222D" w14:textId="77777777" w:rsidTr="00DB45C4">
        <w:trPr>
          <w:trHeight w:val="430"/>
        </w:trPr>
        <w:tc>
          <w:tcPr>
            <w:tcW w:w="2462" w:type="dxa"/>
          </w:tcPr>
          <w:p w14:paraId="5DDC7BA9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6E80FD6D" w14:textId="7CE0F8E6" w:rsidR="00690A25" w:rsidRPr="00F42F33" w:rsidRDefault="001807C6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$3’</w:t>
            </w:r>
            <w:r w:rsidR="00FC6B6E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700,000.00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(TRES MILLONES </w:t>
            </w:r>
            <w:r w:rsidR="00FC6B6E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SETECIENTOS 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MIL PESOS 00/100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07AB42E7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FC6B6E">
        <w:rPr>
          <w:rFonts w:ascii="Arial" w:hAnsi="Arial" w:cs="Arial"/>
          <w:bCs/>
          <w:sz w:val="24"/>
          <w:szCs w:val="24"/>
          <w:lang w:val="es-ES"/>
        </w:rPr>
        <w:t>viernes 28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FC6B6E">
        <w:rPr>
          <w:rFonts w:ascii="Arial" w:hAnsi="Arial" w:cs="Arial"/>
          <w:bCs/>
          <w:sz w:val="24"/>
          <w:szCs w:val="24"/>
          <w:lang w:val="es-ES"/>
        </w:rPr>
        <w:t>junio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AB09CE">
        <w:rPr>
          <w:rFonts w:ascii="Arial" w:hAnsi="Arial" w:cs="Arial"/>
          <w:bCs/>
          <w:sz w:val="24"/>
          <w:szCs w:val="24"/>
          <w:lang w:val="es-ES"/>
        </w:rPr>
        <w:t>Vigésima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Quinta </w:t>
      </w:r>
      <w:r w:rsidR="00AB09CE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="00AB09CE" w:rsidRPr="009818FB">
        <w:rPr>
          <w:rFonts w:ascii="Arial" w:hAnsi="Arial" w:cs="Arial"/>
          <w:bCs/>
          <w:sz w:val="24"/>
          <w:szCs w:val="24"/>
          <w:lang w:val="es-ES"/>
        </w:rPr>
        <w:t>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Edilicia, aprobándose por MAYORIA,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Techo Financiero propuesto por la Dirección de Obras Públicas, a 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DFEFB60" w14:textId="667E891F" w:rsidR="00DC2AA4" w:rsidRPr="009818FB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9FE8E7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37B8A01F" w14:textId="77777777" w:rsidR="00DC2AA4" w:rsidRPr="009818FB" w:rsidRDefault="00DC2AA4" w:rsidP="00DC2AA4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0E3A8B1" w14:textId="77777777"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0C066C89"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PRIMERA.-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CC0ACC">
        <w:rPr>
          <w:rFonts w:ascii="Arial" w:eastAsia="Calibri" w:hAnsi="Arial" w:cs="Arial"/>
          <w:sz w:val="24"/>
          <w:szCs w:val="24"/>
          <w:lang w:val="es-ES"/>
        </w:rPr>
        <w:t>,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C1C79" w:rsidRPr="003C1C79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3’</w:t>
      </w:r>
      <w:r w:rsidR="00AB09CE">
        <w:rPr>
          <w:rFonts w:ascii="Arial" w:eastAsia="Times New Roman" w:hAnsi="Arial" w:cs="Arial"/>
          <w:sz w:val="24"/>
          <w:szCs w:val="24"/>
          <w:lang w:eastAsia="es-MX"/>
        </w:rPr>
        <w:t>700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B09CE">
        <w:rPr>
          <w:rFonts w:ascii="Arial" w:eastAsia="Times New Roman" w:hAnsi="Arial" w:cs="Arial"/>
          <w:sz w:val="24"/>
          <w:szCs w:val="24"/>
          <w:lang w:eastAsia="es-MX"/>
        </w:rPr>
        <w:t>0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00.00</w:t>
      </w:r>
      <w:r w:rsidR="001807C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 xml:space="preserve">(TRES MILLONES </w:t>
      </w:r>
      <w:r w:rsidR="00AB09CE">
        <w:rPr>
          <w:rFonts w:ascii="Arial" w:eastAsia="Times New Roman" w:hAnsi="Arial" w:cs="Arial"/>
          <w:sz w:val="24"/>
          <w:szCs w:val="24"/>
          <w:lang w:eastAsia="es-MX"/>
        </w:rPr>
        <w:t xml:space="preserve">SETECIENTOS 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MIL PESOS 00/100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por lo que no exceden el presupuesto asignado a este fondo económico</w:t>
      </w:r>
      <w:r w:rsidRPr="009818FB">
        <w:rPr>
          <w:rFonts w:ascii="Arial" w:hAnsi="Arial" w:cs="Arial"/>
          <w:sz w:val="24"/>
          <w:szCs w:val="24"/>
          <w:lang w:val="es-ES"/>
        </w:rPr>
        <w:t>,</w:t>
      </w:r>
      <w:r w:rsidR="00AB09CE">
        <w:rPr>
          <w:rFonts w:ascii="Arial" w:hAnsi="Arial" w:cs="Arial"/>
          <w:sz w:val="24"/>
          <w:szCs w:val="24"/>
          <w:lang w:val="es-ES"/>
        </w:rPr>
        <w:t xml:space="preserve"> por lo que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41A80C54" w:rsidR="00DC2AA4" w:rsidRPr="00690A25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RP-00</w:t>
      </w:r>
      <w:r w:rsidR="001807C6">
        <w:rPr>
          <w:rFonts w:ascii="Arial" w:eastAsia="Calibri" w:hAnsi="Arial" w:cs="Arial"/>
          <w:b/>
          <w:sz w:val="24"/>
          <w:szCs w:val="24"/>
          <w:lang w:val="es-ES"/>
        </w:rPr>
        <w:t>9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-2023,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4D85085E" w:rsidR="00690A25" w:rsidRPr="00D74678" w:rsidRDefault="003C1C79" w:rsidP="00DB45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D334B5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P-00</w:t>
            </w:r>
            <w:r w:rsidR="00AB09CE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D334B5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AB09CE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D334B5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AB09CE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RED DE DRENAJE Y AGUA POTABLE, CONSTRUCCION DE BASE Y PÁVIMIENTO DE CONCRETO HIDRAULICO Y CONSTRUCCION DE BANQUETAS EN LA CALLE RAYÓN ENTRE LA CALLE GREGORIA RAMÍREZ Y LA CALLE CUAUTÉMOC EN LE BARRIO DE CRISTO REY, EN CIUDAD GUZMÁN, MUNICIPIO DE ZAPOTLÁN EL GRANDE, JALISCO</w:t>
            </w:r>
          </w:p>
        </w:tc>
        <w:tc>
          <w:tcPr>
            <w:tcW w:w="3686" w:type="dxa"/>
          </w:tcPr>
          <w:p w14:paraId="1BB95D42" w14:textId="74F6762D" w:rsidR="00690A25" w:rsidRPr="00D74678" w:rsidRDefault="001807C6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$3’</w:t>
            </w:r>
            <w:r w:rsidR="00AB09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70</w:t>
            </w:r>
            <w:r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0,</w:t>
            </w:r>
            <w:r w:rsidR="00AB09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  <w:r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00.00 (TRES MILLONES </w:t>
            </w:r>
            <w:r w:rsidR="00AB09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SETECIENTOS </w:t>
            </w:r>
            <w:r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MIL PESOS 00/100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273AE89C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AB09CE">
        <w:rPr>
          <w:rFonts w:ascii="Arial" w:eastAsia="Calibri" w:hAnsi="Arial" w:cs="Arial"/>
          <w:iCs/>
          <w:color w:val="000000"/>
          <w:sz w:val="24"/>
          <w:szCs w:val="24"/>
        </w:rPr>
        <w:t>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Director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86DB159" w14:textId="77777777" w:rsidR="00AB09CE" w:rsidRDefault="00AB09CE" w:rsidP="00AB09CE">
      <w:pPr>
        <w:spacing w:after="0"/>
        <w:jc w:val="center"/>
        <w:rPr>
          <w:rFonts w:ascii="Arial" w:eastAsia="Arial" w:hAnsi="Arial" w:cs="Arial"/>
          <w:b/>
          <w:sz w:val="20"/>
          <w:szCs w:val="24"/>
          <w:lang w:val="es-ES"/>
        </w:rPr>
      </w:pPr>
    </w:p>
    <w:p w14:paraId="63397168" w14:textId="77777777" w:rsidR="00AB09CE" w:rsidRPr="00745BCC" w:rsidRDefault="00AB09CE" w:rsidP="00AB09CE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2DC086F6" w14:textId="77777777" w:rsidR="00AB09CE" w:rsidRPr="00745BCC" w:rsidRDefault="00AB09CE" w:rsidP="00AB09C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E065F96" w14:textId="77777777" w:rsidR="00AB09CE" w:rsidRPr="00745BCC" w:rsidRDefault="00AB09CE" w:rsidP="00AB09C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658DDDA0" w14:textId="77777777" w:rsidR="00AB09CE" w:rsidRPr="00015E18" w:rsidRDefault="00AB09CE" w:rsidP="00AB09CE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0E7C1EB1" w14:textId="77777777" w:rsidR="00AB09CE" w:rsidRDefault="00AB09CE" w:rsidP="00AB09CE">
      <w:pPr>
        <w:spacing w:after="0"/>
        <w:rPr>
          <w:rFonts w:ascii="Arial" w:hAnsi="Arial" w:cs="Arial"/>
          <w:b/>
          <w:szCs w:val="24"/>
          <w:lang w:val="es-ES"/>
        </w:rPr>
      </w:pPr>
    </w:p>
    <w:p w14:paraId="4AB21E6D" w14:textId="77777777" w:rsidR="00AB09CE" w:rsidRDefault="00AB09CE" w:rsidP="00AB09CE">
      <w:pPr>
        <w:spacing w:after="0"/>
        <w:rPr>
          <w:rFonts w:ascii="Arial" w:hAnsi="Arial" w:cs="Arial"/>
          <w:b/>
          <w:sz w:val="20"/>
          <w:lang w:val="es-ES"/>
        </w:rPr>
      </w:pPr>
    </w:p>
    <w:p w14:paraId="2E46294B" w14:textId="77777777" w:rsidR="00AB09CE" w:rsidRPr="005B4F9A" w:rsidRDefault="00AB09CE" w:rsidP="00AB09CE">
      <w:pPr>
        <w:spacing w:after="0"/>
        <w:rPr>
          <w:rFonts w:ascii="Arial" w:hAnsi="Arial" w:cs="Arial"/>
          <w:b/>
          <w:sz w:val="20"/>
          <w:lang w:val="es-ES"/>
        </w:rPr>
      </w:pPr>
    </w:p>
    <w:p w14:paraId="54AAF916" w14:textId="77777777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E22AED6" w14:textId="2CD9067C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>
        <w:rPr>
          <w:rFonts w:ascii="Arial" w:hAnsi="Arial" w:cs="Arial"/>
          <w:b/>
          <w:sz w:val="20"/>
          <w:lang w:val="es-ES"/>
        </w:rPr>
        <w:t xml:space="preserve">ALEJANDRO BARRAGÁN SÁNCHEZ </w:t>
      </w:r>
    </w:p>
    <w:p w14:paraId="539A2C85" w14:textId="1CDA9073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5CAACFEB" w14:textId="77777777" w:rsidR="00AB09CE" w:rsidRDefault="00AB09CE" w:rsidP="00AB09CE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1FF74FE7" w14:textId="77777777" w:rsidR="00AB09CE" w:rsidRPr="005B4F9A" w:rsidRDefault="00AB09CE" w:rsidP="00AB09CE">
      <w:pPr>
        <w:spacing w:after="0"/>
        <w:rPr>
          <w:rFonts w:ascii="Arial" w:hAnsi="Arial" w:cs="Arial"/>
          <w:b/>
          <w:sz w:val="20"/>
          <w:lang w:val="es-ES"/>
        </w:rPr>
      </w:pPr>
    </w:p>
    <w:p w14:paraId="6DC1091D" w14:textId="77777777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B09CE" w:rsidRPr="005B4F9A" w14:paraId="651EF4B7" w14:textId="77777777" w:rsidTr="00C43E33">
        <w:tc>
          <w:tcPr>
            <w:tcW w:w="4827" w:type="dxa"/>
          </w:tcPr>
          <w:p w14:paraId="21878038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64EA05C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716AD637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AA8F24B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E63F9E5" w14:textId="77777777" w:rsidR="00AB09CE" w:rsidRPr="005B4F9A" w:rsidRDefault="00AB09CE" w:rsidP="00C43E33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C768714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A28EFA4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0F7E5D91" w14:textId="7C824F6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MAGALI CASILLAS CONTRERAS </w:t>
            </w:r>
          </w:p>
          <w:p w14:paraId="7DD8483B" w14:textId="00A0A261" w:rsidR="00AB09CE" w:rsidRPr="005B4F9A" w:rsidRDefault="00AB09CE" w:rsidP="00C43E3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5B4F9A">
              <w:rPr>
                <w:rFonts w:ascii="Arial" w:hAnsi="Arial" w:cs="Arial"/>
                <w:b/>
                <w:sz w:val="20"/>
              </w:rPr>
              <w:t xml:space="preserve"> MUNICIPAL Y VOCAL DE LA COMISION</w:t>
            </w:r>
          </w:p>
          <w:p w14:paraId="6D58075A" w14:textId="77777777" w:rsidR="00AB09CE" w:rsidRPr="005B4F9A" w:rsidRDefault="00AB09CE" w:rsidP="00C43E33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02DA2B1B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r>
        <w:rPr>
          <w:rFonts w:ascii="Arial" w:hAnsi="Arial" w:cs="Arial"/>
          <w:sz w:val="16"/>
          <w:szCs w:val="24"/>
        </w:rPr>
        <w:t>vso</w:t>
      </w:r>
    </w:p>
    <w:p w14:paraId="541AC91D" w14:textId="77777777" w:rsidR="00D334B5" w:rsidRPr="00690A25" w:rsidRDefault="00D334B5">
      <w:pPr>
        <w:rPr>
          <w:rFonts w:ascii="Arial" w:hAnsi="Arial" w:cs="Arial"/>
          <w:sz w:val="16"/>
          <w:szCs w:val="24"/>
        </w:rPr>
      </w:pPr>
    </w:p>
    <w:sectPr w:rsidR="00D334B5" w:rsidRPr="00690A25" w:rsidSect="00E91CD3">
      <w:headerReference w:type="default" r:id="rId8"/>
      <w:footerReference w:type="default" r:id="rId9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4149" w14:textId="77777777" w:rsidR="006E7CFF" w:rsidRDefault="006E7CFF">
      <w:pPr>
        <w:spacing w:after="0" w:line="240" w:lineRule="auto"/>
      </w:pPr>
      <w:r>
        <w:separator/>
      </w:r>
    </w:p>
  </w:endnote>
  <w:endnote w:type="continuationSeparator" w:id="0">
    <w:p w14:paraId="51F2A2A8" w14:textId="77777777" w:rsidR="006E7CFF" w:rsidRDefault="006E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5E00" w14:textId="77777777" w:rsidR="006E7CFF" w:rsidRDefault="006E7CFF">
      <w:pPr>
        <w:spacing w:after="0" w:line="240" w:lineRule="auto"/>
      </w:pPr>
      <w:r>
        <w:separator/>
      </w:r>
    </w:p>
  </w:footnote>
  <w:footnote w:type="continuationSeparator" w:id="0">
    <w:p w14:paraId="502B20C4" w14:textId="77777777" w:rsidR="006E7CFF" w:rsidRDefault="006E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4FC143EE" w:rsidR="00C4453C" w:rsidRDefault="00AB09CE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9E0532" wp14:editId="0F1013A6">
          <wp:simplePos x="0" y="0"/>
          <wp:positionH relativeFrom="column">
            <wp:posOffset>3444240</wp:posOffset>
          </wp:positionH>
          <wp:positionV relativeFrom="paragraph">
            <wp:posOffset>-78740</wp:posOffset>
          </wp:positionV>
          <wp:extent cx="2359660" cy="1109345"/>
          <wp:effectExtent l="0" t="0" r="2540" b="0"/>
          <wp:wrapNone/>
          <wp:docPr id="9316451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571E9D36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254C13"/>
    <w:rsid w:val="0026427A"/>
    <w:rsid w:val="002B3B96"/>
    <w:rsid w:val="002F26E9"/>
    <w:rsid w:val="0032011D"/>
    <w:rsid w:val="003736F8"/>
    <w:rsid w:val="003C1C79"/>
    <w:rsid w:val="00452077"/>
    <w:rsid w:val="00690A25"/>
    <w:rsid w:val="006A3870"/>
    <w:rsid w:val="006E7CFF"/>
    <w:rsid w:val="0074014C"/>
    <w:rsid w:val="007D3BF5"/>
    <w:rsid w:val="007E3A6F"/>
    <w:rsid w:val="008229FD"/>
    <w:rsid w:val="009473C8"/>
    <w:rsid w:val="009F71AC"/>
    <w:rsid w:val="00AA4171"/>
    <w:rsid w:val="00AB09CE"/>
    <w:rsid w:val="00AF7938"/>
    <w:rsid w:val="00B02DC5"/>
    <w:rsid w:val="00B753A7"/>
    <w:rsid w:val="00C202D5"/>
    <w:rsid w:val="00C4453C"/>
    <w:rsid w:val="00CC0ACC"/>
    <w:rsid w:val="00D334B5"/>
    <w:rsid w:val="00D51783"/>
    <w:rsid w:val="00D74678"/>
    <w:rsid w:val="00DC2AA4"/>
    <w:rsid w:val="00E2274A"/>
    <w:rsid w:val="00E42A21"/>
    <w:rsid w:val="00F60585"/>
    <w:rsid w:val="00F96494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8BA6-53E9-417A-AD82-8F654335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2023-11-13T19:02:00Z</cp:lastPrinted>
  <dcterms:created xsi:type="dcterms:W3CDTF">2024-06-28T18:05:00Z</dcterms:created>
  <dcterms:modified xsi:type="dcterms:W3CDTF">2024-06-28T18:45:00Z</dcterms:modified>
</cp:coreProperties>
</file>